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A047C">
      <w:pPr>
        <w:pageBreakBefore w:val="0"/>
        <w:kinsoku/>
        <w:wordWrap/>
        <w:overflowPunct/>
        <w:topLinePunct w:val="0"/>
        <w:autoSpaceDE/>
        <w:autoSpaceDN/>
        <w:bidi w:val="0"/>
        <w:spacing w:line="560" w:lineRule="exact"/>
        <w:jc w:val="center"/>
        <w:textAlignment w:val="auto"/>
        <w:rPr>
          <w:rFonts w:hint="eastAsia" w:ascii="宋体" w:hAnsi="宋体" w:eastAsia="宋体" w:cs="宋体"/>
          <w:b/>
          <w:bCs/>
          <w:i w:val="0"/>
          <w:iCs w:val="0"/>
          <w:caps w:val="0"/>
          <w:color w:val="333333"/>
          <w:spacing w:val="0"/>
          <w:kern w:val="0"/>
          <w:sz w:val="44"/>
          <w:szCs w:val="44"/>
          <w:shd w:val="clear" w:fill="FFFFFF"/>
          <w:lang w:val="en-US" w:eastAsia="zh-CN" w:bidi="ar"/>
        </w:rPr>
      </w:pPr>
      <w:r>
        <w:rPr>
          <w:rFonts w:hint="eastAsia" w:ascii="宋体" w:hAnsi="宋体" w:eastAsia="宋体" w:cs="宋体"/>
          <w:b/>
          <w:bCs/>
          <w:i w:val="0"/>
          <w:iCs w:val="0"/>
          <w:caps w:val="0"/>
          <w:color w:val="333333"/>
          <w:spacing w:val="0"/>
          <w:kern w:val="0"/>
          <w:sz w:val="44"/>
          <w:szCs w:val="44"/>
          <w:shd w:val="clear" w:fill="FFFFFF"/>
          <w:lang w:val="en-US" w:eastAsia="zh-CN" w:bidi="ar"/>
        </w:rPr>
        <w:t>宝鸡合力叉车有限公司2026年散件、外销车、制动器运输业务项目招标公告</w:t>
      </w:r>
    </w:p>
    <w:p w14:paraId="5225DAB5">
      <w:pPr>
        <w:pStyle w:val="2"/>
      </w:pPr>
    </w:p>
    <w:p w14:paraId="2790DE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right="0"/>
        <w:jc w:val="left"/>
        <w:textAlignment w:val="auto"/>
        <w:rPr>
          <w:rFonts w:hint="eastAsia" w:ascii="黑体" w:hAnsi="宋体" w:eastAsia="黑体" w:cs="黑体"/>
          <w:i w:val="0"/>
          <w:iCs w:val="0"/>
          <w:caps w:val="0"/>
          <w:color w:val="000000"/>
          <w:spacing w:val="0"/>
          <w:kern w:val="0"/>
          <w:sz w:val="28"/>
          <w:szCs w:val="28"/>
          <w:lang w:val="en-US" w:eastAsia="zh-CN" w:bidi="ar"/>
        </w:rPr>
      </w:pPr>
      <w:r>
        <w:rPr>
          <w:rFonts w:hint="eastAsia" w:ascii="黑体" w:hAnsi="宋体" w:eastAsia="黑体" w:cs="黑体"/>
          <w:i w:val="0"/>
          <w:iCs w:val="0"/>
          <w:caps w:val="0"/>
          <w:color w:val="000000"/>
          <w:spacing w:val="0"/>
          <w:kern w:val="0"/>
          <w:sz w:val="28"/>
          <w:szCs w:val="28"/>
          <w:lang w:val="en-US" w:eastAsia="zh-CN" w:bidi="ar"/>
        </w:rPr>
        <w:t>安徽省招标集团股份有限公司受宝鸡合力叉车有限公司委托，现对宝鸡合力叉车有限公司2026年散件、外销车、制动器运输业务项目进行公开招标，欢迎具备条件的投标人参加。</w:t>
      </w:r>
    </w:p>
    <w:p w14:paraId="04252440">
      <w:pPr>
        <w:pStyle w:val="8"/>
        <w:pageBreakBefore w:val="0"/>
        <w:kinsoku/>
        <w:wordWrap/>
        <w:overflowPunct/>
        <w:topLinePunct w:val="0"/>
        <w:autoSpaceDE/>
        <w:autoSpaceDN/>
        <w:bidi w:val="0"/>
        <w:spacing w:before="0" w:after="0" w:line="560" w:lineRule="exact"/>
        <w:textAlignment w:val="auto"/>
        <w:rPr>
          <w:rFonts w:hint="eastAsia" w:ascii="黑体" w:hAnsi="宋体" w:eastAsia="黑体" w:cs="黑体"/>
          <w:b w:val="0"/>
          <w:i w:val="0"/>
          <w:iCs w:val="0"/>
          <w:caps w:val="0"/>
          <w:color w:val="000000"/>
          <w:spacing w:val="0"/>
          <w:kern w:val="0"/>
          <w:sz w:val="28"/>
          <w:szCs w:val="28"/>
          <w:lang w:val="en-US" w:eastAsia="zh-CN" w:bidi="ar"/>
        </w:rPr>
      </w:pPr>
      <w:bookmarkStart w:id="0" w:name="_Toc10879"/>
      <w:bookmarkStart w:id="1" w:name="_Toc6383"/>
      <w:bookmarkStart w:id="2" w:name="_Toc28908"/>
      <w:bookmarkStart w:id="3" w:name="_Toc13283"/>
      <w:bookmarkStart w:id="4" w:name="_Toc22903"/>
      <w:bookmarkStart w:id="5" w:name="_Toc21212"/>
      <w:bookmarkStart w:id="6" w:name="_Toc19312"/>
      <w:bookmarkStart w:id="7" w:name="_Toc10622"/>
      <w:bookmarkStart w:id="8" w:name="_Toc26146"/>
      <w:bookmarkStart w:id="9" w:name="_Toc25815"/>
      <w:bookmarkStart w:id="10" w:name="_Toc151393372"/>
      <w:r>
        <w:rPr>
          <w:rFonts w:hint="eastAsia" w:ascii="黑体" w:hAnsi="宋体" w:eastAsia="黑体" w:cs="黑体"/>
          <w:b w:val="0"/>
          <w:i w:val="0"/>
          <w:iCs w:val="0"/>
          <w:caps w:val="0"/>
          <w:color w:val="000000"/>
          <w:spacing w:val="0"/>
          <w:kern w:val="0"/>
          <w:sz w:val="28"/>
          <w:szCs w:val="28"/>
          <w:lang w:val="en-US" w:eastAsia="zh-CN" w:bidi="ar"/>
        </w:rPr>
        <w:t>1.招标条件</w:t>
      </w:r>
      <w:bookmarkEnd w:id="0"/>
      <w:bookmarkEnd w:id="1"/>
      <w:bookmarkEnd w:id="2"/>
      <w:bookmarkEnd w:id="3"/>
      <w:bookmarkEnd w:id="4"/>
      <w:bookmarkEnd w:id="5"/>
      <w:bookmarkEnd w:id="6"/>
      <w:bookmarkEnd w:id="7"/>
      <w:bookmarkEnd w:id="8"/>
      <w:bookmarkEnd w:id="9"/>
      <w:bookmarkEnd w:id="10"/>
    </w:p>
    <w:p w14:paraId="17724A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bookmarkStart w:id="11" w:name="_Toc21848"/>
      <w:bookmarkStart w:id="12" w:name="_Toc12572"/>
      <w:bookmarkStart w:id="13" w:name="_Toc2037"/>
      <w:bookmarkStart w:id="14" w:name="_Toc28404"/>
      <w:r>
        <w:rPr>
          <w:rFonts w:hint="eastAsia" w:ascii="仿宋" w:hAnsi="仿宋" w:eastAsia="仿宋" w:cs="仿宋"/>
          <w:i w:val="0"/>
          <w:iCs w:val="0"/>
          <w:caps w:val="0"/>
          <w:color w:val="000000"/>
          <w:spacing w:val="0"/>
          <w:kern w:val="0"/>
          <w:sz w:val="28"/>
          <w:szCs w:val="28"/>
          <w:lang w:val="en-US" w:eastAsia="zh-CN" w:bidi="ar"/>
        </w:rPr>
        <w:t>1.1 招标人：宝鸡合力叉车有限公司</w:t>
      </w:r>
    </w:p>
    <w:p w14:paraId="08528A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1.2 招标代理机构：安徽省招标集团股份有限公司</w:t>
      </w:r>
    </w:p>
    <w:p w14:paraId="142C9A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default"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1.3招标项目名称：宝鸡合力叉车有限公司2026年散件、外销车、制动器运输业务项目</w:t>
      </w:r>
    </w:p>
    <w:p w14:paraId="2A90A0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1.4 资金来源：自筹资金</w:t>
      </w:r>
    </w:p>
    <w:p w14:paraId="42DB7D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1.5 项目出资比例：100%</w:t>
      </w:r>
    </w:p>
    <w:p w14:paraId="032550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Times New Roman" w:eastAsia="仿宋"/>
          <w:color w:val="0C0C0C"/>
          <w:szCs w:val="24"/>
          <w:highlight w:val="none"/>
          <w:u w:val="single"/>
        </w:rPr>
      </w:pPr>
      <w:r>
        <w:rPr>
          <w:rFonts w:hint="eastAsia" w:ascii="仿宋" w:hAnsi="仿宋" w:eastAsia="仿宋" w:cs="仿宋"/>
          <w:i w:val="0"/>
          <w:iCs w:val="0"/>
          <w:caps w:val="0"/>
          <w:color w:val="000000"/>
          <w:spacing w:val="0"/>
          <w:kern w:val="0"/>
          <w:sz w:val="28"/>
          <w:szCs w:val="28"/>
          <w:lang w:val="en-US" w:eastAsia="zh-CN" w:bidi="ar"/>
        </w:rPr>
        <w:t>1.6 资金落实情况：已落实</w:t>
      </w:r>
    </w:p>
    <w:p w14:paraId="5BFFAC86">
      <w:pPr>
        <w:pStyle w:val="8"/>
        <w:pageBreakBefore w:val="0"/>
        <w:kinsoku/>
        <w:wordWrap/>
        <w:overflowPunct/>
        <w:topLinePunct w:val="0"/>
        <w:autoSpaceDE/>
        <w:autoSpaceDN/>
        <w:bidi w:val="0"/>
        <w:spacing w:before="0" w:after="0" w:line="560" w:lineRule="exact"/>
        <w:textAlignment w:val="auto"/>
        <w:rPr>
          <w:rFonts w:hint="eastAsia" w:ascii="黑体" w:hAnsi="宋体" w:eastAsia="黑体" w:cs="黑体"/>
          <w:b w:val="0"/>
          <w:i w:val="0"/>
          <w:iCs w:val="0"/>
          <w:caps w:val="0"/>
          <w:color w:val="000000"/>
          <w:spacing w:val="0"/>
          <w:kern w:val="0"/>
          <w:sz w:val="28"/>
          <w:szCs w:val="28"/>
          <w:lang w:val="en-US" w:eastAsia="zh-CN" w:bidi="ar"/>
        </w:rPr>
      </w:pPr>
      <w:bookmarkStart w:id="15" w:name="_Toc18220"/>
      <w:bookmarkStart w:id="16" w:name="_Toc9254"/>
      <w:bookmarkStart w:id="17" w:name="_Toc15646"/>
      <w:bookmarkStart w:id="18" w:name="_Toc151393373"/>
      <w:bookmarkStart w:id="19" w:name="_Toc6237"/>
      <w:bookmarkStart w:id="20" w:name="_Toc27331"/>
      <w:bookmarkStart w:id="21" w:name="_Toc1141"/>
      <w:bookmarkStart w:id="22" w:name="_Toc13326"/>
      <w:r>
        <w:rPr>
          <w:rFonts w:hint="eastAsia" w:ascii="黑体" w:hAnsi="宋体" w:eastAsia="黑体" w:cs="黑体"/>
          <w:b w:val="0"/>
          <w:i w:val="0"/>
          <w:iCs w:val="0"/>
          <w:caps w:val="0"/>
          <w:color w:val="000000"/>
          <w:spacing w:val="0"/>
          <w:kern w:val="0"/>
          <w:sz w:val="28"/>
          <w:szCs w:val="28"/>
          <w:lang w:val="en-US" w:eastAsia="zh-CN" w:bidi="ar"/>
        </w:rPr>
        <w:t>2.项目概况与招标范围</w:t>
      </w:r>
      <w:bookmarkEnd w:id="11"/>
      <w:bookmarkEnd w:id="12"/>
      <w:bookmarkEnd w:id="13"/>
      <w:bookmarkEnd w:id="14"/>
      <w:bookmarkEnd w:id="15"/>
      <w:bookmarkEnd w:id="16"/>
      <w:bookmarkEnd w:id="17"/>
      <w:bookmarkEnd w:id="18"/>
      <w:bookmarkEnd w:id="19"/>
      <w:bookmarkEnd w:id="20"/>
      <w:bookmarkEnd w:id="21"/>
      <w:bookmarkEnd w:id="22"/>
    </w:p>
    <w:p w14:paraId="745A47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2.1招标项目编号：GN2026-07-7694</w:t>
      </w:r>
    </w:p>
    <w:p w14:paraId="3C4797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2.2 标段划分：本项目划分为1个标段</w:t>
      </w:r>
    </w:p>
    <w:p w14:paraId="4101DD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2.3招标范围：本次招标为</w:t>
      </w:r>
      <w:r>
        <w:rPr>
          <w:rFonts w:hint="default" w:ascii="仿宋" w:hAnsi="仿宋" w:eastAsia="仿宋" w:cs="仿宋"/>
          <w:i w:val="0"/>
          <w:iCs w:val="0"/>
          <w:caps w:val="0"/>
          <w:color w:val="000000"/>
          <w:spacing w:val="0"/>
          <w:kern w:val="0"/>
          <w:sz w:val="28"/>
          <w:szCs w:val="28"/>
          <w:lang w:val="en-US" w:eastAsia="zh-CN" w:bidi="ar"/>
        </w:rPr>
        <w:t>宝鸡合力叉车有限公司2026年散件、外销车、制动器运输业务项目，物流运输服务内容包含货物的装卸、运输、保险等相关内容。</w:t>
      </w:r>
      <w:r>
        <w:rPr>
          <w:rFonts w:hint="eastAsia" w:ascii="仿宋" w:hAnsi="仿宋" w:eastAsia="仿宋" w:cs="仿宋"/>
          <w:i w:val="0"/>
          <w:iCs w:val="0"/>
          <w:caps w:val="0"/>
          <w:color w:val="000000"/>
          <w:spacing w:val="0"/>
          <w:kern w:val="0"/>
          <w:sz w:val="28"/>
          <w:szCs w:val="28"/>
          <w:lang w:val="en-US" w:eastAsia="zh-CN" w:bidi="ar"/>
        </w:rPr>
        <w:t>本项目分为3条路线：01路线为</w:t>
      </w:r>
      <w:r>
        <w:rPr>
          <w:rFonts w:hint="default" w:ascii="仿宋" w:hAnsi="仿宋" w:eastAsia="仿宋" w:cs="仿宋"/>
          <w:i w:val="0"/>
          <w:iCs w:val="0"/>
          <w:caps w:val="0"/>
          <w:color w:val="000000"/>
          <w:spacing w:val="0"/>
          <w:kern w:val="0"/>
          <w:sz w:val="28"/>
          <w:szCs w:val="28"/>
          <w:lang w:val="en-US" w:eastAsia="zh-CN" w:bidi="ar"/>
        </w:rPr>
        <w:t>安徽合肥-陕西宝鸡</w:t>
      </w:r>
      <w:r>
        <w:rPr>
          <w:rFonts w:hint="eastAsia" w:ascii="仿宋" w:hAnsi="仿宋" w:eastAsia="仿宋" w:cs="仿宋"/>
          <w:i w:val="0"/>
          <w:iCs w:val="0"/>
          <w:caps w:val="0"/>
          <w:color w:val="000000"/>
          <w:spacing w:val="0"/>
          <w:kern w:val="0"/>
          <w:sz w:val="28"/>
          <w:szCs w:val="28"/>
          <w:lang w:val="en-US" w:eastAsia="zh-CN" w:bidi="ar"/>
        </w:rPr>
        <w:t>（</w:t>
      </w:r>
      <w:r>
        <w:rPr>
          <w:rFonts w:hint="default" w:ascii="仿宋" w:hAnsi="仿宋" w:eastAsia="仿宋" w:cs="仿宋"/>
          <w:i w:val="0"/>
          <w:iCs w:val="0"/>
          <w:caps w:val="0"/>
          <w:color w:val="000000"/>
          <w:spacing w:val="0"/>
          <w:kern w:val="0"/>
          <w:sz w:val="28"/>
          <w:szCs w:val="28"/>
          <w:lang w:val="en-US" w:eastAsia="zh-CN" w:bidi="ar"/>
        </w:rPr>
        <w:t>零配件运输业务</w:t>
      </w:r>
      <w:r>
        <w:rPr>
          <w:rFonts w:hint="eastAsia" w:ascii="仿宋" w:hAnsi="仿宋" w:eastAsia="仿宋" w:cs="仿宋"/>
          <w:i w:val="0"/>
          <w:iCs w:val="0"/>
          <w:caps w:val="0"/>
          <w:color w:val="000000"/>
          <w:spacing w:val="0"/>
          <w:kern w:val="0"/>
          <w:sz w:val="28"/>
          <w:szCs w:val="28"/>
          <w:lang w:val="en-US" w:eastAsia="zh-CN" w:bidi="ar"/>
        </w:rPr>
        <w:t>）、02路线</w:t>
      </w:r>
      <w:r>
        <w:rPr>
          <w:rFonts w:hint="default" w:ascii="仿宋" w:hAnsi="仿宋" w:eastAsia="仿宋" w:cs="仿宋"/>
          <w:i w:val="0"/>
          <w:iCs w:val="0"/>
          <w:caps w:val="0"/>
          <w:color w:val="000000"/>
          <w:spacing w:val="0"/>
          <w:kern w:val="0"/>
          <w:sz w:val="28"/>
          <w:szCs w:val="28"/>
          <w:lang w:val="en-US" w:eastAsia="zh-CN" w:bidi="ar"/>
        </w:rPr>
        <w:t>陕西宝鸡-安徽合肥</w:t>
      </w:r>
      <w:r>
        <w:rPr>
          <w:rFonts w:hint="eastAsia" w:ascii="仿宋" w:hAnsi="仿宋" w:eastAsia="仿宋" w:cs="仿宋"/>
          <w:i w:val="0"/>
          <w:iCs w:val="0"/>
          <w:caps w:val="0"/>
          <w:color w:val="000000"/>
          <w:spacing w:val="0"/>
          <w:kern w:val="0"/>
          <w:sz w:val="28"/>
          <w:szCs w:val="28"/>
          <w:lang w:val="en-US" w:eastAsia="zh-CN" w:bidi="ar"/>
        </w:rPr>
        <w:t>（外销</w:t>
      </w:r>
      <w:r>
        <w:rPr>
          <w:rFonts w:hint="default" w:ascii="仿宋" w:hAnsi="仿宋" w:eastAsia="仿宋" w:cs="仿宋"/>
          <w:i w:val="0"/>
          <w:iCs w:val="0"/>
          <w:caps w:val="0"/>
          <w:color w:val="000000"/>
          <w:spacing w:val="0"/>
          <w:kern w:val="0"/>
          <w:sz w:val="28"/>
          <w:szCs w:val="28"/>
          <w:lang w:val="en-US" w:eastAsia="zh-CN" w:bidi="ar"/>
        </w:rPr>
        <w:t>整车运输业务</w:t>
      </w:r>
      <w:r>
        <w:rPr>
          <w:rFonts w:hint="eastAsia" w:ascii="仿宋" w:hAnsi="仿宋" w:eastAsia="仿宋" w:cs="仿宋"/>
          <w:i w:val="0"/>
          <w:iCs w:val="0"/>
          <w:caps w:val="0"/>
          <w:color w:val="000000"/>
          <w:spacing w:val="0"/>
          <w:kern w:val="0"/>
          <w:sz w:val="28"/>
          <w:szCs w:val="28"/>
          <w:lang w:val="en-US" w:eastAsia="zh-CN" w:bidi="ar"/>
        </w:rPr>
        <w:t>）、03路线为</w:t>
      </w:r>
      <w:r>
        <w:rPr>
          <w:rFonts w:hint="default" w:ascii="仿宋" w:hAnsi="仿宋" w:eastAsia="仿宋" w:cs="仿宋"/>
          <w:i w:val="0"/>
          <w:iCs w:val="0"/>
          <w:caps w:val="0"/>
          <w:color w:val="000000"/>
          <w:spacing w:val="0"/>
          <w:kern w:val="0"/>
          <w:sz w:val="28"/>
          <w:szCs w:val="28"/>
          <w:lang w:val="en-US" w:eastAsia="zh-CN" w:bidi="ar"/>
        </w:rPr>
        <w:t>陕西宝鸡-安徽合肥</w:t>
      </w:r>
      <w:r>
        <w:rPr>
          <w:rFonts w:hint="eastAsia" w:ascii="仿宋" w:hAnsi="仿宋" w:eastAsia="仿宋" w:cs="仿宋"/>
          <w:i w:val="0"/>
          <w:iCs w:val="0"/>
          <w:caps w:val="0"/>
          <w:color w:val="000000"/>
          <w:spacing w:val="0"/>
          <w:kern w:val="0"/>
          <w:sz w:val="28"/>
          <w:szCs w:val="28"/>
          <w:lang w:val="en-US" w:eastAsia="zh-CN" w:bidi="ar"/>
        </w:rPr>
        <w:t>（制动器及转运架运输业务），具体内容详见招标文件。</w:t>
      </w:r>
    </w:p>
    <w:tbl>
      <w:tblPr>
        <w:tblStyle w:val="10"/>
        <w:tblW w:w="5000" w:type="pct"/>
        <w:jc w:val="center"/>
        <w:tblLayout w:type="fixed"/>
        <w:tblCellMar>
          <w:top w:w="0" w:type="dxa"/>
          <w:left w:w="0" w:type="dxa"/>
          <w:bottom w:w="0" w:type="dxa"/>
          <w:right w:w="0" w:type="dxa"/>
        </w:tblCellMar>
      </w:tblPr>
      <w:tblGrid>
        <w:gridCol w:w="496"/>
        <w:gridCol w:w="990"/>
        <w:gridCol w:w="1646"/>
        <w:gridCol w:w="1063"/>
        <w:gridCol w:w="1417"/>
        <w:gridCol w:w="2724"/>
      </w:tblGrid>
      <w:tr w14:paraId="3D6E72BE">
        <w:tblPrEx>
          <w:tblCellMar>
            <w:top w:w="0" w:type="dxa"/>
            <w:left w:w="0" w:type="dxa"/>
            <w:bottom w:w="0" w:type="dxa"/>
            <w:right w:w="0" w:type="dxa"/>
          </w:tblCellMar>
        </w:tblPrEx>
        <w:trPr>
          <w:trHeight w:val="501" w:hRule="atLeast"/>
          <w:jc w:val="center"/>
        </w:trPr>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7D15B95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C0C0C"/>
                <w:sz w:val="28"/>
                <w:szCs w:val="28"/>
                <w:highlight w:val="none"/>
                <w:lang w:val="en-US" w:eastAsia="zh-CN"/>
              </w:rPr>
            </w:pPr>
            <w:r>
              <w:rPr>
                <w:rFonts w:hint="eastAsia" w:ascii="仿宋" w:hAnsi="仿宋" w:eastAsia="仿宋" w:cs="仿宋"/>
                <w:color w:val="0C0C0C"/>
                <w:sz w:val="28"/>
                <w:szCs w:val="28"/>
                <w:highlight w:val="none"/>
                <w:lang w:val="en-US" w:eastAsia="zh-CN"/>
              </w:rPr>
              <w:t>路线</w:t>
            </w:r>
          </w:p>
        </w:tc>
        <w:tc>
          <w:tcPr>
            <w:tcW w:w="593" w:type="pc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7D227D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C0C0C"/>
                <w:sz w:val="28"/>
                <w:szCs w:val="28"/>
                <w:highlight w:val="none"/>
              </w:rPr>
            </w:pPr>
            <w:r>
              <w:rPr>
                <w:rFonts w:hint="eastAsia" w:ascii="仿宋" w:hAnsi="仿宋" w:eastAsia="仿宋" w:cs="仿宋"/>
                <w:color w:val="0C0C0C"/>
                <w:sz w:val="28"/>
                <w:szCs w:val="28"/>
                <w:highlight w:val="none"/>
              </w:rPr>
              <w:t>运输区间</w:t>
            </w:r>
          </w:p>
        </w:tc>
        <w:tc>
          <w:tcPr>
            <w:tcW w:w="987" w:type="pc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561655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C0C0C"/>
                <w:sz w:val="28"/>
                <w:szCs w:val="28"/>
                <w:highlight w:val="none"/>
              </w:rPr>
            </w:pPr>
            <w:r>
              <w:rPr>
                <w:rFonts w:hint="eastAsia" w:ascii="仿宋" w:hAnsi="仿宋" w:eastAsia="仿宋" w:cs="仿宋"/>
                <w:color w:val="0C0C0C"/>
                <w:sz w:val="28"/>
                <w:szCs w:val="28"/>
                <w:highlight w:val="none"/>
              </w:rPr>
              <w:t>起止地点</w:t>
            </w:r>
          </w:p>
        </w:tc>
        <w:tc>
          <w:tcPr>
            <w:tcW w:w="637" w:type="pc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76AF276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C0C0C"/>
                <w:sz w:val="28"/>
                <w:szCs w:val="28"/>
                <w:highlight w:val="none"/>
              </w:rPr>
            </w:pPr>
            <w:r>
              <w:rPr>
                <w:rFonts w:hint="eastAsia" w:ascii="仿宋" w:hAnsi="仿宋" w:eastAsia="仿宋" w:cs="仿宋"/>
                <w:color w:val="0C0C0C"/>
                <w:sz w:val="28"/>
                <w:szCs w:val="28"/>
                <w:highlight w:val="none"/>
              </w:rPr>
              <w:t>运输物资</w:t>
            </w:r>
          </w:p>
        </w:tc>
        <w:tc>
          <w:tcPr>
            <w:tcW w:w="849" w:type="pc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32BD99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C0C0C"/>
                <w:sz w:val="28"/>
                <w:szCs w:val="28"/>
                <w:highlight w:val="none"/>
              </w:rPr>
            </w:pPr>
            <w:r>
              <w:rPr>
                <w:rFonts w:hint="eastAsia" w:ascii="仿宋" w:hAnsi="仿宋" w:eastAsia="仿宋" w:cs="仿宋"/>
                <w:color w:val="0C0C0C"/>
                <w:sz w:val="28"/>
                <w:szCs w:val="28"/>
                <w:highlight w:val="none"/>
              </w:rPr>
              <w:t>运输时效</w:t>
            </w:r>
          </w:p>
        </w:tc>
        <w:tc>
          <w:tcPr>
            <w:tcW w:w="1634" w:type="pc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6EC10A2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C0C0C"/>
                <w:sz w:val="28"/>
                <w:szCs w:val="28"/>
                <w:highlight w:val="none"/>
              </w:rPr>
            </w:pPr>
            <w:r>
              <w:rPr>
                <w:rFonts w:hint="eastAsia" w:ascii="仿宋" w:hAnsi="仿宋" w:eastAsia="仿宋" w:cs="仿宋"/>
                <w:color w:val="0C0C0C"/>
                <w:sz w:val="28"/>
                <w:szCs w:val="28"/>
                <w:highlight w:val="none"/>
              </w:rPr>
              <w:t>备注</w:t>
            </w:r>
          </w:p>
        </w:tc>
      </w:tr>
      <w:tr w14:paraId="03D66FC6">
        <w:tblPrEx>
          <w:tblCellMar>
            <w:top w:w="0" w:type="dxa"/>
            <w:left w:w="0" w:type="dxa"/>
            <w:bottom w:w="0" w:type="dxa"/>
            <w:right w:w="0" w:type="dxa"/>
          </w:tblCellMar>
        </w:tblPrEx>
        <w:trPr>
          <w:trHeight w:val="336" w:hRule="atLeast"/>
          <w:jc w:val="center"/>
        </w:trPr>
        <w:tc>
          <w:tcPr>
            <w:tcW w:w="297" w:type="pct"/>
            <w:tcBorders>
              <w:top w:val="single" w:color="000000" w:sz="4" w:space="0"/>
              <w:left w:val="single" w:color="000000" w:sz="4" w:space="0"/>
              <w:bottom w:val="single" w:color="auto" w:sz="4" w:space="0"/>
              <w:right w:val="single" w:color="000000" w:sz="4" w:space="0"/>
            </w:tcBorders>
            <w:noWrap/>
            <w:tcMar>
              <w:top w:w="15" w:type="dxa"/>
              <w:left w:w="15" w:type="dxa"/>
              <w:bottom w:w="0" w:type="dxa"/>
              <w:right w:w="15" w:type="dxa"/>
            </w:tcMar>
            <w:vAlign w:val="center"/>
          </w:tcPr>
          <w:p w14:paraId="1BC205B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C0C0C"/>
                <w:sz w:val="28"/>
                <w:szCs w:val="28"/>
                <w:highlight w:val="none"/>
                <w:lang w:val="en-US" w:eastAsia="zh-CN"/>
              </w:rPr>
            </w:pPr>
            <w:r>
              <w:rPr>
                <w:rFonts w:hint="eastAsia" w:ascii="仿宋" w:hAnsi="仿宋" w:eastAsia="仿宋" w:cs="仿宋"/>
                <w:color w:val="0C0C0C"/>
                <w:sz w:val="28"/>
                <w:szCs w:val="28"/>
                <w:highlight w:val="none"/>
                <w:lang w:val="en-US" w:eastAsia="zh-CN"/>
              </w:rPr>
              <w:t>01</w:t>
            </w:r>
          </w:p>
        </w:tc>
        <w:tc>
          <w:tcPr>
            <w:tcW w:w="593" w:type="pc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6AE467A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C0C0C"/>
                <w:sz w:val="28"/>
                <w:szCs w:val="28"/>
                <w:highlight w:val="none"/>
              </w:rPr>
            </w:pPr>
            <w:r>
              <w:rPr>
                <w:rFonts w:hint="eastAsia" w:ascii="仿宋" w:hAnsi="仿宋" w:eastAsia="仿宋" w:cs="仿宋"/>
                <w:color w:val="0C0C0C"/>
                <w:sz w:val="28"/>
                <w:szCs w:val="28"/>
                <w:highlight w:val="none"/>
              </w:rPr>
              <w:t>安徽合肥-陕西宝鸡</w:t>
            </w:r>
          </w:p>
        </w:tc>
        <w:tc>
          <w:tcPr>
            <w:tcW w:w="987" w:type="pct"/>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56C2BF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C0C0C"/>
                <w:sz w:val="28"/>
                <w:szCs w:val="28"/>
                <w:highlight w:val="none"/>
              </w:rPr>
            </w:pPr>
            <w:r>
              <w:rPr>
                <w:rFonts w:hint="eastAsia" w:ascii="仿宋" w:hAnsi="仿宋" w:eastAsia="仿宋" w:cs="仿宋"/>
                <w:color w:val="0C0C0C"/>
                <w:sz w:val="28"/>
                <w:szCs w:val="28"/>
                <w:highlight w:val="none"/>
              </w:rPr>
              <w:t>合肥工厂及周边配套工厂至宝鸡金台厂，渭滨厂仓库</w:t>
            </w:r>
          </w:p>
        </w:tc>
        <w:tc>
          <w:tcPr>
            <w:tcW w:w="637" w:type="pc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627575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C0C0C"/>
                <w:sz w:val="28"/>
                <w:szCs w:val="28"/>
                <w:highlight w:val="none"/>
              </w:rPr>
            </w:pPr>
            <w:r>
              <w:rPr>
                <w:rFonts w:hint="eastAsia" w:ascii="仿宋" w:hAnsi="仿宋" w:eastAsia="仿宋" w:cs="仿宋"/>
                <w:color w:val="0C0C0C"/>
                <w:sz w:val="28"/>
                <w:szCs w:val="28"/>
                <w:highlight w:val="none"/>
              </w:rPr>
              <w:t>零配件运输业务</w:t>
            </w:r>
          </w:p>
        </w:tc>
        <w:tc>
          <w:tcPr>
            <w:tcW w:w="849" w:type="pc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6B5C9E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C0C0C"/>
                <w:sz w:val="28"/>
                <w:szCs w:val="28"/>
                <w:highlight w:val="none"/>
              </w:rPr>
            </w:pPr>
            <w:r>
              <w:rPr>
                <w:rFonts w:hint="eastAsia" w:ascii="仿宋" w:hAnsi="仿宋" w:eastAsia="仿宋" w:cs="仿宋"/>
                <w:color w:val="0C0C0C"/>
                <w:sz w:val="28"/>
                <w:szCs w:val="28"/>
                <w:highlight w:val="none"/>
              </w:rPr>
              <w:t>无中转、24小时一站式送达。</w:t>
            </w:r>
          </w:p>
        </w:tc>
        <w:tc>
          <w:tcPr>
            <w:tcW w:w="1634" w:type="pc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571B44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0C0C0C"/>
                <w:sz w:val="28"/>
                <w:szCs w:val="28"/>
                <w:highlight w:val="none"/>
                <w:lang w:val="en-US" w:eastAsia="zh-CN"/>
              </w:rPr>
            </w:pPr>
            <w:r>
              <w:rPr>
                <w:rFonts w:hint="eastAsia" w:ascii="仿宋" w:hAnsi="仿宋" w:eastAsia="仿宋" w:cs="仿宋"/>
                <w:color w:val="0C0C0C"/>
                <w:sz w:val="28"/>
                <w:szCs w:val="28"/>
                <w:highlight w:val="none"/>
              </w:rPr>
              <w:t>约</w:t>
            </w:r>
            <w:r>
              <w:rPr>
                <w:rFonts w:hint="eastAsia" w:ascii="仿宋" w:hAnsi="仿宋" w:eastAsia="仿宋" w:cs="仿宋"/>
                <w:color w:val="0C0C0C"/>
                <w:sz w:val="28"/>
                <w:szCs w:val="28"/>
                <w:highlight w:val="none"/>
                <w:lang w:val="en-US" w:eastAsia="zh-CN"/>
              </w:rPr>
              <w:t>35</w:t>
            </w:r>
            <w:r>
              <w:rPr>
                <w:rFonts w:hint="eastAsia" w:ascii="仿宋" w:hAnsi="仿宋" w:eastAsia="仿宋" w:cs="仿宋"/>
                <w:color w:val="0C0C0C"/>
                <w:sz w:val="28"/>
                <w:szCs w:val="28"/>
                <w:highlight w:val="none"/>
              </w:rPr>
              <w:t>0趟/年，预计每月发运约</w:t>
            </w:r>
            <w:r>
              <w:rPr>
                <w:rFonts w:hint="eastAsia" w:ascii="仿宋" w:hAnsi="仿宋" w:eastAsia="仿宋" w:cs="仿宋"/>
                <w:color w:val="0C0C0C"/>
                <w:sz w:val="28"/>
                <w:szCs w:val="28"/>
                <w:highlight w:val="none"/>
                <w:lang w:val="en-US" w:eastAsia="zh-CN"/>
              </w:rPr>
              <w:t>8</w:t>
            </w:r>
            <w:r>
              <w:rPr>
                <w:rFonts w:hint="eastAsia" w:ascii="仿宋" w:hAnsi="仿宋" w:eastAsia="仿宋" w:cs="仿宋"/>
                <w:color w:val="0C0C0C"/>
                <w:sz w:val="28"/>
                <w:szCs w:val="28"/>
                <w:highlight w:val="none"/>
              </w:rPr>
              <w:t>00吨，</w:t>
            </w:r>
            <w:r>
              <w:rPr>
                <w:rFonts w:hint="eastAsia" w:ascii="仿宋" w:hAnsi="仿宋" w:eastAsia="仿宋" w:cs="仿宋"/>
                <w:color w:val="0C0C0C"/>
                <w:sz w:val="28"/>
                <w:szCs w:val="28"/>
                <w:highlight w:val="none"/>
                <w:lang w:eastAsia="zh-CN"/>
              </w:rPr>
              <w:t>按趟</w:t>
            </w:r>
            <w:r>
              <w:rPr>
                <w:rFonts w:hint="eastAsia" w:ascii="仿宋" w:hAnsi="仿宋" w:eastAsia="仿宋" w:cs="仿宋"/>
                <w:color w:val="0C0C0C"/>
                <w:sz w:val="28"/>
                <w:szCs w:val="28"/>
                <w:highlight w:val="none"/>
              </w:rPr>
              <w:t>报价（单位：元</w:t>
            </w:r>
            <w:r>
              <w:rPr>
                <w:rFonts w:hint="eastAsia" w:ascii="仿宋" w:hAnsi="仿宋" w:eastAsia="仿宋" w:cs="仿宋"/>
                <w:color w:val="0C0C0C"/>
                <w:sz w:val="28"/>
                <w:szCs w:val="28"/>
                <w:highlight w:val="none"/>
                <w:lang w:val="en-US" w:eastAsia="zh-CN"/>
              </w:rPr>
              <w:t>/辆</w:t>
            </w:r>
            <w:r>
              <w:rPr>
                <w:rFonts w:hint="eastAsia" w:ascii="仿宋" w:hAnsi="仿宋" w:eastAsia="仿宋" w:cs="仿宋"/>
                <w:color w:val="0C0C0C"/>
                <w:sz w:val="28"/>
                <w:szCs w:val="28"/>
                <w:highlight w:val="none"/>
              </w:rPr>
              <w:t>）要求使用长度13米及以上车型运输。</w:t>
            </w:r>
          </w:p>
        </w:tc>
      </w:tr>
      <w:tr w14:paraId="16E942EA">
        <w:tblPrEx>
          <w:tblCellMar>
            <w:top w:w="0" w:type="dxa"/>
            <w:left w:w="0" w:type="dxa"/>
            <w:bottom w:w="0" w:type="dxa"/>
            <w:right w:w="0" w:type="dxa"/>
          </w:tblCellMar>
        </w:tblPrEx>
        <w:trPr>
          <w:trHeight w:val="965" w:hRule="atLeast"/>
          <w:jc w:val="center"/>
        </w:trPr>
        <w:tc>
          <w:tcPr>
            <w:tcW w:w="297" w:type="pct"/>
            <w:tcBorders>
              <w:top w:val="single" w:color="auto" w:sz="4" w:space="0"/>
              <w:left w:val="single" w:color="000000" w:sz="4" w:space="0"/>
              <w:bottom w:val="single" w:color="auto" w:sz="4" w:space="0"/>
              <w:right w:val="single" w:color="000000" w:sz="4" w:space="0"/>
            </w:tcBorders>
            <w:noWrap/>
            <w:tcMar>
              <w:top w:w="15" w:type="dxa"/>
              <w:left w:w="15" w:type="dxa"/>
              <w:bottom w:w="0" w:type="dxa"/>
              <w:right w:w="15" w:type="dxa"/>
            </w:tcMar>
            <w:vAlign w:val="center"/>
          </w:tcPr>
          <w:p w14:paraId="2C6A80C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C0C0C"/>
                <w:sz w:val="28"/>
                <w:szCs w:val="28"/>
                <w:highlight w:val="none"/>
                <w:lang w:val="en-US" w:eastAsia="zh-CN"/>
              </w:rPr>
            </w:pPr>
            <w:r>
              <w:rPr>
                <w:rFonts w:hint="eastAsia" w:ascii="仿宋" w:hAnsi="仿宋" w:eastAsia="仿宋" w:cs="仿宋"/>
                <w:color w:val="0C0C0C"/>
                <w:sz w:val="28"/>
                <w:szCs w:val="28"/>
                <w:highlight w:val="none"/>
                <w:lang w:val="en-US" w:eastAsia="zh-CN"/>
              </w:rPr>
              <w:t>02</w:t>
            </w:r>
          </w:p>
        </w:tc>
        <w:tc>
          <w:tcPr>
            <w:tcW w:w="593" w:type="pc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D8BCFA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C0C0C"/>
                <w:sz w:val="28"/>
                <w:szCs w:val="28"/>
                <w:highlight w:val="none"/>
              </w:rPr>
            </w:pPr>
            <w:r>
              <w:rPr>
                <w:rFonts w:hint="eastAsia" w:ascii="仿宋" w:hAnsi="仿宋" w:eastAsia="仿宋" w:cs="仿宋"/>
                <w:color w:val="0C0C0C"/>
                <w:sz w:val="28"/>
                <w:szCs w:val="28"/>
                <w:highlight w:val="none"/>
              </w:rPr>
              <w:t>陕西宝鸡-安徽合肥</w:t>
            </w:r>
          </w:p>
        </w:tc>
        <w:tc>
          <w:tcPr>
            <w:tcW w:w="987" w:type="pct"/>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7FFAA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C0C0C"/>
                <w:sz w:val="28"/>
                <w:szCs w:val="28"/>
                <w:highlight w:val="none"/>
                <w:lang w:val="en-US" w:eastAsia="zh-CN"/>
              </w:rPr>
            </w:pPr>
            <w:r>
              <w:rPr>
                <w:rFonts w:hint="eastAsia" w:ascii="仿宋" w:hAnsi="仿宋" w:eastAsia="仿宋" w:cs="仿宋"/>
                <w:color w:val="0C0C0C"/>
                <w:sz w:val="28"/>
                <w:szCs w:val="28"/>
                <w:highlight w:val="none"/>
              </w:rPr>
              <w:t>宝鸡金台厂，渭滨厂装车台至合肥成品车仓库</w:t>
            </w:r>
            <w:r>
              <w:rPr>
                <w:rFonts w:hint="eastAsia" w:ascii="仿宋" w:hAnsi="仿宋" w:eastAsia="仿宋" w:cs="仿宋"/>
                <w:color w:val="0C0C0C"/>
                <w:sz w:val="28"/>
                <w:szCs w:val="28"/>
                <w:highlight w:val="none"/>
                <w:lang w:val="en-US" w:eastAsia="zh-CN"/>
              </w:rPr>
              <w:t>以及中外运仓库</w:t>
            </w:r>
          </w:p>
        </w:tc>
        <w:tc>
          <w:tcPr>
            <w:tcW w:w="637" w:type="pct"/>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7C5D0F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C0C0C"/>
                <w:sz w:val="28"/>
                <w:szCs w:val="28"/>
                <w:highlight w:val="none"/>
              </w:rPr>
            </w:pPr>
            <w:r>
              <w:rPr>
                <w:rFonts w:hint="eastAsia" w:ascii="仿宋" w:hAnsi="仿宋" w:eastAsia="仿宋" w:cs="仿宋"/>
                <w:color w:val="0C0C0C"/>
                <w:sz w:val="28"/>
                <w:szCs w:val="28"/>
                <w:highlight w:val="none"/>
              </w:rPr>
              <w:t>整车运输业务</w:t>
            </w:r>
          </w:p>
        </w:tc>
        <w:tc>
          <w:tcPr>
            <w:tcW w:w="849" w:type="pct"/>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8D6832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C0C0C"/>
                <w:sz w:val="28"/>
                <w:szCs w:val="28"/>
                <w:highlight w:val="none"/>
              </w:rPr>
            </w:pPr>
            <w:r>
              <w:rPr>
                <w:rFonts w:hint="eastAsia" w:ascii="仿宋" w:hAnsi="仿宋" w:eastAsia="仿宋" w:cs="仿宋"/>
                <w:color w:val="0C0C0C"/>
                <w:sz w:val="28"/>
                <w:szCs w:val="28"/>
                <w:highlight w:val="none"/>
              </w:rPr>
              <w:t>无中转、24小时一站式送达。</w:t>
            </w:r>
          </w:p>
        </w:tc>
        <w:tc>
          <w:tcPr>
            <w:tcW w:w="1634" w:type="pct"/>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013D6A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C0C0C"/>
                <w:sz w:val="28"/>
                <w:szCs w:val="28"/>
                <w:highlight w:val="none"/>
              </w:rPr>
            </w:pPr>
            <w:r>
              <w:rPr>
                <w:rFonts w:hint="eastAsia" w:ascii="仿宋" w:hAnsi="仿宋" w:eastAsia="仿宋" w:cs="仿宋"/>
                <w:color w:val="0C0C0C"/>
                <w:sz w:val="28"/>
                <w:szCs w:val="28"/>
                <w:highlight w:val="none"/>
              </w:rPr>
              <w:t>预计</w:t>
            </w:r>
            <w:r>
              <w:rPr>
                <w:rFonts w:hint="eastAsia" w:ascii="仿宋" w:hAnsi="仿宋" w:eastAsia="仿宋" w:cs="仿宋"/>
                <w:color w:val="0C0C0C"/>
                <w:sz w:val="28"/>
                <w:szCs w:val="28"/>
                <w:highlight w:val="none"/>
                <w:lang w:val="en-US" w:eastAsia="zh-CN"/>
              </w:rPr>
              <w:t>每年</w:t>
            </w:r>
            <w:r>
              <w:rPr>
                <w:rFonts w:hint="eastAsia" w:ascii="仿宋" w:hAnsi="仿宋" w:eastAsia="仿宋" w:cs="仿宋"/>
                <w:color w:val="0C0C0C"/>
                <w:sz w:val="28"/>
                <w:szCs w:val="28"/>
                <w:highlight w:val="none"/>
              </w:rPr>
              <w:t>发运约</w:t>
            </w:r>
            <w:r>
              <w:rPr>
                <w:rFonts w:hint="eastAsia" w:ascii="仿宋" w:hAnsi="仿宋" w:eastAsia="仿宋" w:cs="仿宋"/>
                <w:color w:val="0C0C0C"/>
                <w:sz w:val="28"/>
                <w:szCs w:val="28"/>
                <w:highlight w:val="none"/>
                <w:lang w:val="en-US" w:eastAsia="zh-CN"/>
              </w:rPr>
              <w:t>3500台</w:t>
            </w:r>
            <w:r>
              <w:rPr>
                <w:rFonts w:hint="eastAsia" w:ascii="仿宋" w:hAnsi="仿宋" w:eastAsia="仿宋" w:cs="仿宋"/>
                <w:color w:val="0C0C0C"/>
                <w:sz w:val="28"/>
                <w:szCs w:val="28"/>
                <w:highlight w:val="none"/>
              </w:rPr>
              <w:t>，</w:t>
            </w:r>
            <w:r>
              <w:rPr>
                <w:rFonts w:hint="eastAsia" w:ascii="仿宋" w:hAnsi="仿宋" w:eastAsia="仿宋" w:cs="仿宋"/>
                <w:color w:val="0C0C0C"/>
                <w:sz w:val="28"/>
                <w:szCs w:val="28"/>
                <w:highlight w:val="none"/>
                <w:lang w:eastAsia="zh-CN"/>
              </w:rPr>
              <w:t>按车型</w:t>
            </w:r>
            <w:r>
              <w:rPr>
                <w:rFonts w:hint="eastAsia" w:ascii="仿宋" w:hAnsi="仿宋" w:eastAsia="仿宋" w:cs="仿宋"/>
                <w:color w:val="0C0C0C"/>
                <w:sz w:val="28"/>
                <w:szCs w:val="28"/>
                <w:highlight w:val="none"/>
              </w:rPr>
              <w:t>报价。</w:t>
            </w:r>
          </w:p>
        </w:tc>
      </w:tr>
      <w:tr w14:paraId="66B58599">
        <w:tblPrEx>
          <w:tblCellMar>
            <w:top w:w="0" w:type="dxa"/>
            <w:left w:w="0" w:type="dxa"/>
            <w:bottom w:w="0" w:type="dxa"/>
            <w:right w:w="0" w:type="dxa"/>
          </w:tblCellMar>
        </w:tblPrEx>
        <w:trPr>
          <w:trHeight w:val="965" w:hRule="atLeast"/>
          <w:jc w:val="center"/>
        </w:trPr>
        <w:tc>
          <w:tcPr>
            <w:tcW w:w="297" w:type="pct"/>
            <w:tcBorders>
              <w:top w:val="single" w:color="auto" w:sz="4" w:space="0"/>
              <w:left w:val="single" w:color="000000" w:sz="4" w:space="0"/>
              <w:bottom w:val="single" w:color="auto" w:sz="4" w:space="0"/>
              <w:right w:val="single" w:color="000000" w:sz="4" w:space="0"/>
            </w:tcBorders>
            <w:noWrap/>
            <w:tcMar>
              <w:top w:w="15" w:type="dxa"/>
              <w:left w:w="15" w:type="dxa"/>
              <w:bottom w:w="0" w:type="dxa"/>
              <w:right w:w="15" w:type="dxa"/>
            </w:tcMar>
            <w:vAlign w:val="center"/>
          </w:tcPr>
          <w:p w14:paraId="7831556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C0C0C"/>
                <w:sz w:val="28"/>
                <w:szCs w:val="28"/>
                <w:highlight w:val="none"/>
                <w:lang w:val="en-US" w:eastAsia="zh-CN"/>
              </w:rPr>
            </w:pPr>
            <w:r>
              <w:rPr>
                <w:rFonts w:hint="eastAsia" w:ascii="仿宋" w:hAnsi="仿宋" w:eastAsia="仿宋" w:cs="仿宋"/>
                <w:color w:val="0C0C0C"/>
                <w:sz w:val="28"/>
                <w:szCs w:val="28"/>
                <w:highlight w:val="none"/>
                <w:lang w:val="en-US" w:eastAsia="zh-CN"/>
              </w:rPr>
              <w:t>03</w:t>
            </w:r>
          </w:p>
        </w:tc>
        <w:tc>
          <w:tcPr>
            <w:tcW w:w="593" w:type="pc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63BF3EC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陕西宝鸡-安徽合肥</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1110公里</w:t>
            </w:r>
            <w:r>
              <w:rPr>
                <w:rFonts w:hint="eastAsia" w:ascii="仿宋" w:hAnsi="仿宋" w:eastAsia="仿宋" w:cs="仿宋"/>
                <w:color w:val="000000" w:themeColor="text1"/>
                <w:sz w:val="28"/>
                <w:szCs w:val="28"/>
                <w:highlight w:val="none"/>
                <w:lang w:eastAsia="zh-CN"/>
                <w14:textFill>
                  <w14:solidFill>
                    <w14:schemeClr w14:val="tx1"/>
                  </w14:solidFill>
                </w14:textFill>
              </w:rPr>
              <w:t>）</w:t>
            </w:r>
          </w:p>
        </w:tc>
        <w:tc>
          <w:tcPr>
            <w:tcW w:w="987" w:type="pct"/>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7C3FB2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宝鸡渭滨厂制动器车间至合力</w:t>
            </w:r>
            <w:r>
              <w:rPr>
                <w:rFonts w:hint="eastAsia" w:ascii="仿宋" w:hAnsi="仿宋" w:eastAsia="仿宋" w:cs="仿宋"/>
                <w:color w:val="000000" w:themeColor="text1"/>
                <w:sz w:val="28"/>
                <w:szCs w:val="28"/>
                <w:highlight w:val="none"/>
                <w:lang w:val="en-US" w:eastAsia="zh-CN"/>
                <w14:textFill>
                  <w14:solidFill>
                    <w14:schemeClr w14:val="tx1"/>
                  </w14:solidFill>
                </w14:textFill>
              </w:rPr>
              <w:t>股份</w:t>
            </w:r>
            <w:r>
              <w:rPr>
                <w:rFonts w:hint="eastAsia" w:ascii="仿宋" w:hAnsi="仿宋" w:eastAsia="仿宋" w:cs="仿宋"/>
                <w:color w:val="000000" w:themeColor="text1"/>
                <w:sz w:val="28"/>
                <w:szCs w:val="28"/>
                <w:highlight w:val="none"/>
                <w14:textFill>
                  <w14:solidFill>
                    <w14:schemeClr w14:val="tx1"/>
                  </w14:solidFill>
                </w14:textFill>
              </w:rPr>
              <w:t>公司、合力配件公司、好运机械、</w:t>
            </w:r>
            <w:r>
              <w:rPr>
                <w:rFonts w:hint="eastAsia" w:ascii="仿宋" w:hAnsi="仿宋" w:eastAsia="仿宋" w:cs="仿宋"/>
                <w:color w:val="000000" w:themeColor="text1"/>
                <w:sz w:val="28"/>
                <w:szCs w:val="28"/>
                <w:highlight w:val="none"/>
                <w:lang w:val="en-US" w:eastAsia="zh-CN"/>
                <w14:textFill>
                  <w14:solidFill>
                    <w14:schemeClr w14:val="tx1"/>
                  </w14:solidFill>
                </w14:textFill>
              </w:rPr>
              <w:t>合肥海源</w:t>
            </w:r>
            <w:r>
              <w:rPr>
                <w:rFonts w:hint="eastAsia" w:ascii="仿宋" w:hAnsi="仿宋" w:eastAsia="仿宋" w:cs="仿宋"/>
                <w:color w:val="000000" w:themeColor="text1"/>
                <w:sz w:val="28"/>
                <w:szCs w:val="28"/>
                <w:highlight w:val="none"/>
                <w14:textFill>
                  <w14:solidFill>
                    <w14:schemeClr w14:val="tx1"/>
                  </w14:solidFill>
                </w14:textFill>
              </w:rPr>
              <w:t>、合肥库房</w:t>
            </w:r>
            <w:r>
              <w:rPr>
                <w:rFonts w:hint="eastAsia" w:ascii="仿宋" w:hAnsi="仿宋" w:eastAsia="仿宋" w:cs="仿宋"/>
                <w:color w:val="000000" w:themeColor="text1"/>
                <w:sz w:val="28"/>
                <w:szCs w:val="28"/>
                <w:highlight w:val="none"/>
                <w:lang w:eastAsia="zh-CN"/>
                <w14:textFill>
                  <w14:solidFill>
                    <w14:schemeClr w14:val="tx1"/>
                  </w14:solidFill>
                </w14:textFill>
              </w:rPr>
              <w:t>、电动分公司</w:t>
            </w:r>
          </w:p>
        </w:tc>
        <w:tc>
          <w:tcPr>
            <w:tcW w:w="637" w:type="pct"/>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C3D06D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C0C0C"/>
                <w:sz w:val="28"/>
                <w:szCs w:val="28"/>
                <w:highlight w:val="none"/>
              </w:rPr>
            </w:pPr>
            <w:r>
              <w:rPr>
                <w:rFonts w:hint="eastAsia" w:ascii="仿宋" w:hAnsi="仿宋" w:eastAsia="仿宋" w:cs="仿宋"/>
                <w:color w:val="0C0C0C"/>
                <w:sz w:val="28"/>
                <w:szCs w:val="28"/>
                <w:highlight w:val="none"/>
              </w:rPr>
              <w:t>制动器运输业务、转运架运输</w:t>
            </w:r>
          </w:p>
        </w:tc>
        <w:tc>
          <w:tcPr>
            <w:tcW w:w="849" w:type="pct"/>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FDB1C5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C0C0C"/>
                <w:sz w:val="28"/>
                <w:szCs w:val="28"/>
                <w:highlight w:val="none"/>
              </w:rPr>
            </w:pPr>
            <w:r>
              <w:rPr>
                <w:rFonts w:hint="eastAsia" w:ascii="仿宋" w:hAnsi="仿宋" w:eastAsia="仿宋" w:cs="仿宋"/>
                <w:color w:val="0C0C0C"/>
                <w:sz w:val="28"/>
                <w:szCs w:val="28"/>
                <w:highlight w:val="none"/>
              </w:rPr>
              <w:t>无中转、24小时一站式送达。</w:t>
            </w:r>
          </w:p>
        </w:tc>
        <w:tc>
          <w:tcPr>
            <w:tcW w:w="1634" w:type="pct"/>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7F58B5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C0C0C"/>
                <w:sz w:val="28"/>
                <w:szCs w:val="28"/>
                <w:highlight w:val="none"/>
              </w:rPr>
            </w:pPr>
            <w:r>
              <w:rPr>
                <w:rFonts w:hint="eastAsia" w:ascii="仿宋" w:hAnsi="仿宋" w:eastAsia="仿宋" w:cs="仿宋"/>
                <w:color w:val="0C0C0C"/>
                <w:sz w:val="28"/>
                <w:szCs w:val="28"/>
                <w:highlight w:val="none"/>
              </w:rPr>
              <w:t>制动器运输业务约100趟/年，预计每月发运约200吨，单价报价（单位：元/吨公里）</w:t>
            </w:r>
          </w:p>
          <w:p w14:paraId="464956D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C0C0C"/>
                <w:sz w:val="28"/>
                <w:szCs w:val="28"/>
                <w:highlight w:val="none"/>
              </w:rPr>
            </w:pPr>
          </w:p>
          <w:p w14:paraId="1C5D0CA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0C0C0C"/>
                <w:sz w:val="28"/>
                <w:szCs w:val="28"/>
                <w:highlight w:val="none"/>
                <w:lang w:val="en-US"/>
              </w:rPr>
            </w:pPr>
            <w:r>
              <w:rPr>
                <w:rFonts w:hint="eastAsia" w:ascii="仿宋" w:hAnsi="仿宋" w:eastAsia="仿宋" w:cs="仿宋"/>
                <w:color w:val="0C0C0C"/>
                <w:sz w:val="28"/>
                <w:szCs w:val="28"/>
                <w:highlight w:val="none"/>
                <w:lang w:val="en-US" w:eastAsia="zh-CN"/>
              </w:rPr>
              <w:t>转运架</w:t>
            </w:r>
            <w:r>
              <w:rPr>
                <w:rFonts w:hint="eastAsia" w:ascii="仿宋" w:hAnsi="仿宋" w:eastAsia="仿宋" w:cs="仿宋"/>
                <w:color w:val="0C0C0C"/>
                <w:sz w:val="28"/>
                <w:szCs w:val="28"/>
                <w:highlight w:val="none"/>
              </w:rPr>
              <w:t>运输</w:t>
            </w:r>
            <w:r>
              <w:rPr>
                <w:rFonts w:hint="eastAsia" w:ascii="仿宋" w:hAnsi="仿宋" w:eastAsia="仿宋" w:cs="仿宋"/>
                <w:color w:val="0C0C0C"/>
                <w:sz w:val="28"/>
                <w:szCs w:val="28"/>
                <w:highlight w:val="none"/>
                <w:lang w:val="en-US" w:eastAsia="zh-CN"/>
              </w:rPr>
              <w:t>约4500个/年（每个0.549立方，图纸调整，差异超过5%的，以实际为准），单价报价（单位：</w:t>
            </w:r>
            <w:r>
              <w:rPr>
                <w:rFonts w:hint="eastAsia" w:ascii="仿宋" w:hAnsi="仿宋" w:eastAsia="仿宋" w:cs="仿宋"/>
                <w:color w:val="0C0C0C"/>
                <w:sz w:val="28"/>
                <w:szCs w:val="28"/>
                <w:highlight w:val="none"/>
              </w:rPr>
              <w:t>元/立方米</w:t>
            </w:r>
            <w:r>
              <w:rPr>
                <w:rFonts w:hint="eastAsia" w:ascii="仿宋" w:hAnsi="仿宋" w:eastAsia="仿宋" w:cs="仿宋"/>
                <w:color w:val="0C0C0C"/>
                <w:sz w:val="28"/>
                <w:szCs w:val="28"/>
                <w:highlight w:val="none"/>
                <w:lang w:val="en-US" w:eastAsia="zh-CN"/>
              </w:rPr>
              <w:t>）</w:t>
            </w:r>
          </w:p>
        </w:tc>
      </w:tr>
    </w:tbl>
    <w:p w14:paraId="162D5B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default" w:ascii="仿宋" w:hAnsi="仿宋" w:eastAsia="仿宋" w:cs="仿宋"/>
          <w:i w:val="0"/>
          <w:iCs w:val="0"/>
          <w:caps w:val="0"/>
          <w:color w:val="000000"/>
          <w:spacing w:val="0"/>
          <w:kern w:val="0"/>
          <w:sz w:val="28"/>
          <w:szCs w:val="28"/>
          <w:lang w:val="en-US" w:eastAsia="zh-CN" w:bidi="ar"/>
        </w:rPr>
      </w:pPr>
      <w:r>
        <w:rPr>
          <w:rFonts w:hint="default" w:ascii="仿宋" w:hAnsi="仿宋" w:eastAsia="仿宋" w:cs="仿宋"/>
          <w:i w:val="0"/>
          <w:iCs w:val="0"/>
          <w:caps w:val="0"/>
          <w:color w:val="000000"/>
          <w:spacing w:val="0"/>
          <w:kern w:val="0"/>
          <w:sz w:val="28"/>
          <w:szCs w:val="28"/>
          <w:lang w:val="en-US" w:eastAsia="zh-CN" w:bidi="ar"/>
        </w:rPr>
        <w:t>说明：以上发运数量根据历史销售数据估计，结算数量以实际发运数量为准。</w:t>
      </w:r>
    </w:p>
    <w:p w14:paraId="58D8E2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2.4 服务期：服务期三年（2026年11月中旬-2029年11月中旬）。合同一年一签，经考核合格后可以续签下一年合同，最多续签2次。</w:t>
      </w:r>
    </w:p>
    <w:p w14:paraId="18E418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2.5 服务地点：宝鸡合力叉车有限公司，安徽合力股份有限公司及招标人指定地点。</w:t>
      </w:r>
    </w:p>
    <w:p w14:paraId="6D99E8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2.6 其他：/</w:t>
      </w:r>
    </w:p>
    <w:p w14:paraId="0264554D">
      <w:pPr>
        <w:pStyle w:val="8"/>
        <w:pageBreakBefore w:val="0"/>
        <w:kinsoku/>
        <w:wordWrap/>
        <w:overflowPunct/>
        <w:topLinePunct w:val="0"/>
        <w:autoSpaceDE/>
        <w:autoSpaceDN/>
        <w:bidi w:val="0"/>
        <w:spacing w:before="0" w:after="0" w:line="560" w:lineRule="exact"/>
        <w:textAlignment w:val="auto"/>
        <w:rPr>
          <w:rFonts w:hint="eastAsia" w:ascii="黑体" w:hAnsi="宋体" w:eastAsia="黑体" w:cs="黑体"/>
          <w:b w:val="0"/>
          <w:i w:val="0"/>
          <w:iCs w:val="0"/>
          <w:caps w:val="0"/>
          <w:color w:val="000000"/>
          <w:spacing w:val="0"/>
          <w:kern w:val="0"/>
          <w:sz w:val="28"/>
          <w:szCs w:val="28"/>
          <w:lang w:val="en-US" w:eastAsia="zh-CN" w:bidi="ar"/>
        </w:rPr>
      </w:pPr>
      <w:bookmarkStart w:id="23" w:name="_Toc18579"/>
      <w:bookmarkStart w:id="24" w:name="_Toc17422"/>
      <w:bookmarkStart w:id="25" w:name="_Toc24865"/>
      <w:bookmarkStart w:id="26" w:name="_Toc15916"/>
      <w:bookmarkStart w:id="27" w:name="_Toc7298"/>
      <w:bookmarkStart w:id="28" w:name="_Toc14482"/>
      <w:bookmarkStart w:id="29" w:name="_Toc151393374"/>
      <w:r>
        <w:rPr>
          <w:rFonts w:hint="eastAsia" w:ascii="黑体" w:hAnsi="宋体" w:eastAsia="黑体" w:cs="黑体"/>
          <w:b w:val="0"/>
          <w:i w:val="0"/>
          <w:iCs w:val="0"/>
          <w:caps w:val="0"/>
          <w:color w:val="000000"/>
          <w:spacing w:val="0"/>
          <w:kern w:val="0"/>
          <w:sz w:val="28"/>
          <w:szCs w:val="28"/>
          <w:lang w:val="en-US" w:eastAsia="zh-CN" w:bidi="ar"/>
        </w:rPr>
        <w:t>3.资格审查方式</w:t>
      </w:r>
      <w:bookmarkEnd w:id="23"/>
    </w:p>
    <w:p w14:paraId="5912E6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资格后审</w:t>
      </w:r>
    </w:p>
    <w:p w14:paraId="2103EF2D">
      <w:pPr>
        <w:pStyle w:val="8"/>
        <w:pageBreakBefore w:val="0"/>
        <w:kinsoku/>
        <w:wordWrap/>
        <w:overflowPunct/>
        <w:topLinePunct w:val="0"/>
        <w:autoSpaceDE/>
        <w:autoSpaceDN/>
        <w:bidi w:val="0"/>
        <w:spacing w:before="0" w:after="0" w:line="560" w:lineRule="exact"/>
        <w:textAlignment w:val="auto"/>
        <w:rPr>
          <w:rFonts w:hint="eastAsia" w:ascii="黑体" w:hAnsi="宋体" w:eastAsia="黑体" w:cs="黑体"/>
          <w:b w:val="0"/>
          <w:i w:val="0"/>
          <w:iCs w:val="0"/>
          <w:caps w:val="0"/>
          <w:color w:val="000000"/>
          <w:spacing w:val="0"/>
          <w:kern w:val="0"/>
          <w:sz w:val="28"/>
          <w:szCs w:val="28"/>
          <w:lang w:val="en-US" w:eastAsia="zh-CN" w:bidi="ar"/>
        </w:rPr>
      </w:pPr>
      <w:bookmarkStart w:id="30" w:name="_Toc23113"/>
      <w:r>
        <w:rPr>
          <w:rFonts w:hint="eastAsia" w:ascii="黑体" w:hAnsi="宋体" w:eastAsia="黑体" w:cs="黑体"/>
          <w:b w:val="0"/>
          <w:i w:val="0"/>
          <w:iCs w:val="0"/>
          <w:caps w:val="0"/>
          <w:color w:val="000000"/>
          <w:spacing w:val="0"/>
          <w:kern w:val="0"/>
          <w:sz w:val="28"/>
          <w:szCs w:val="28"/>
          <w:lang w:val="en-US" w:eastAsia="zh-CN" w:bidi="ar"/>
        </w:rPr>
        <w:t>4. 投标人资格要求</w:t>
      </w:r>
      <w:bookmarkEnd w:id="24"/>
      <w:bookmarkEnd w:id="25"/>
      <w:bookmarkEnd w:id="26"/>
      <w:bookmarkEnd w:id="27"/>
      <w:bookmarkEnd w:id="28"/>
      <w:bookmarkEnd w:id="29"/>
      <w:bookmarkEnd w:id="30"/>
    </w:p>
    <w:p w14:paraId="1AEBFD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4.1 资质要求：</w:t>
      </w:r>
    </w:p>
    <w:p w14:paraId="2DEE2F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投标人须具有独立承担民事责任的能力（证明材料如提供营业执照或事业单位法人登记证书），并具备承担本招标项目的如下条件：</w:t>
      </w:r>
    </w:p>
    <w:p w14:paraId="676111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4.1.1 投标人须具备交通运输管理单位颁发的《道路运输经营许可证》资质。（提供证书扫描件）</w:t>
      </w:r>
    </w:p>
    <w:p w14:paraId="2370B6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4.2 投标人须具有完成本项目运输的自有车辆和社会合作车辆数合计不少于20辆；车辆排放标准需满足国家及地方道路通行要求。</w:t>
      </w:r>
      <w:r>
        <w:rPr>
          <w:rFonts w:hint="eastAsia" w:ascii="仿宋" w:hAnsi="仿宋" w:eastAsia="仿宋" w:cs="仿宋"/>
          <w:i w:val="0"/>
          <w:iCs w:val="0"/>
          <w:caps w:val="0"/>
          <w:color w:val="000000"/>
          <w:spacing w:val="0"/>
          <w:kern w:val="0"/>
          <w:sz w:val="28"/>
          <w:szCs w:val="28"/>
          <w:lang w:val="en-US" w:eastAsia="zh-CN" w:bidi="ar"/>
        </w:rPr>
        <w:br w:type="textWrapping"/>
      </w:r>
      <w:r>
        <w:rPr>
          <w:rFonts w:hint="eastAsia" w:ascii="仿宋" w:hAnsi="仿宋" w:eastAsia="仿宋" w:cs="仿宋"/>
          <w:i w:val="0"/>
          <w:iCs w:val="0"/>
          <w:caps w:val="0"/>
          <w:color w:val="000000"/>
          <w:spacing w:val="0"/>
          <w:kern w:val="0"/>
          <w:sz w:val="28"/>
          <w:szCs w:val="28"/>
          <w:lang w:val="en-US" w:eastAsia="zh-CN" w:bidi="ar"/>
        </w:rPr>
        <w:t xml:space="preserve">  注：1）关于“车辆”的要求：1台牵引车+1台挂车算作1辆车，其中牵引车的准牵引质量不小于30吨，挂车的核载质量不小于30吨；同一牵引车和挂车不得重复组合，举例说明：牵引车A和挂车B“组合”成1辆车，那么牵引车A和挂车B就不能再出现在其他组合车辆中；</w:t>
      </w:r>
      <w:r>
        <w:rPr>
          <w:rFonts w:hint="eastAsia" w:ascii="仿宋" w:hAnsi="仿宋" w:eastAsia="仿宋" w:cs="仿宋"/>
          <w:i w:val="0"/>
          <w:iCs w:val="0"/>
          <w:caps w:val="0"/>
          <w:color w:val="000000"/>
          <w:spacing w:val="0"/>
          <w:kern w:val="0"/>
          <w:sz w:val="28"/>
          <w:szCs w:val="28"/>
          <w:lang w:val="en-US" w:eastAsia="zh-CN" w:bidi="ar"/>
        </w:rPr>
        <w:br w:type="textWrapping"/>
      </w:r>
      <w:r>
        <w:rPr>
          <w:rFonts w:hint="eastAsia" w:ascii="仿宋" w:hAnsi="仿宋" w:eastAsia="仿宋" w:cs="仿宋"/>
          <w:i w:val="0"/>
          <w:iCs w:val="0"/>
          <w:caps w:val="0"/>
          <w:color w:val="000000"/>
          <w:spacing w:val="0"/>
          <w:kern w:val="0"/>
          <w:sz w:val="28"/>
          <w:szCs w:val="28"/>
          <w:lang w:val="en-US" w:eastAsia="zh-CN" w:bidi="ar"/>
        </w:rPr>
        <w:t>    2）投标人提供自有车辆的，须提供有效的行驶证（年检日期应在有效期内）及牵引车的保险证明材料扫描件；提供社会合作车辆的，须提供有效的行驶证（年检日期应在有效期内）、租赁协议及社会合作车辆中牵引车有效的保险证明材料扫描件，牵引车的保险证明材料中至少应包含交强险，挂车的保险不作要求。</w:t>
      </w:r>
      <w:r>
        <w:rPr>
          <w:rFonts w:hint="eastAsia" w:ascii="仿宋" w:hAnsi="仿宋" w:eastAsia="仿宋" w:cs="仿宋"/>
          <w:i w:val="0"/>
          <w:iCs w:val="0"/>
          <w:caps w:val="0"/>
          <w:color w:val="000000"/>
          <w:spacing w:val="0"/>
          <w:kern w:val="0"/>
          <w:sz w:val="28"/>
          <w:szCs w:val="28"/>
          <w:lang w:val="en-US" w:eastAsia="zh-CN" w:bidi="ar"/>
        </w:rPr>
        <w:br w:type="textWrapping"/>
      </w:r>
      <w:r>
        <w:rPr>
          <w:rFonts w:hint="eastAsia" w:ascii="仿宋" w:hAnsi="仿宋" w:eastAsia="仿宋" w:cs="仿宋"/>
          <w:i w:val="0"/>
          <w:iCs w:val="0"/>
          <w:caps w:val="0"/>
          <w:color w:val="000000"/>
          <w:spacing w:val="0"/>
          <w:kern w:val="0"/>
          <w:sz w:val="28"/>
          <w:szCs w:val="28"/>
          <w:lang w:val="en-US" w:eastAsia="zh-CN" w:bidi="ar"/>
        </w:rPr>
        <w:t>    3）以上资料中牵引车和挂车的行驶证都要提供。</w:t>
      </w:r>
    </w:p>
    <w:p w14:paraId="28F3B9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right="0" w:firstLine="280" w:firstLineChars="1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4）投标人须书面承诺车辆排放标准需满足国家及地方道路通行要求。 </w:t>
      </w:r>
    </w:p>
    <w:p w14:paraId="4DB467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4.3投标人应能够提供24小时运输服务，具有流畅的信息沟通渠道、固定的联络人员和联系方式。（提供书面承诺）</w:t>
      </w:r>
    </w:p>
    <w:p w14:paraId="6FB766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4.4投标人所有车辆必须足额投保，包含交强险，承诺具有与保险公司签订的年度货物保险合同，保险额度可覆盖本次运输过程中所发生的所有货物丢失损毁等风险，货物年保险额不低于人民币5000万元，保险周期覆盖整个运输服务期，若投标人已有的年度货物保险合同未能覆盖本次运输服务周期的，在其货物保险合同到期后续办货物年保险额不低于人民币5000万元的货物保险合同，并确保能够覆盖本项目的运输服务周期。中标后，经招标人核查年度货物保险合同的签订主体非中标单位，招标人取消其中标资格。（提供书面承诺）</w:t>
      </w:r>
    </w:p>
    <w:p w14:paraId="256C8E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default"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4.5投标人承诺对于以上3个路线时效性要求中，如招标人无法配满13米至17.5米板车（限载32吨），但需紧急发运时，投标人需紧急更换小型车辆专车专送，换成9.6米车辆（三轴限载14吨，四轴限载18.5吨）整车吨公里价格不高于投标价的20%，换成6.8米车辆（二轴限载11吨）整车吨公里价格价格不高于投标价40%。（提供书面承诺）</w:t>
      </w:r>
    </w:p>
    <w:p w14:paraId="36949E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4.6 财务要求：</w:t>
      </w:r>
    </w:p>
    <w:p w14:paraId="17B223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不得存在下列情形（须提供承诺函）：</w:t>
      </w:r>
    </w:p>
    <w:p w14:paraId="3BEEE8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4.6.1被责令停业，暂扣或吊销执照，或吊销资质证书；</w:t>
      </w:r>
    </w:p>
    <w:p w14:paraId="716FEF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4.6.2进入清算程序，或被宣告破产，或其他丧失履约能力的情形。</w:t>
      </w:r>
    </w:p>
    <w:p w14:paraId="122B9B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4.7 本招标项目不接受联合体投标。</w:t>
      </w:r>
    </w:p>
    <w:p w14:paraId="503CE0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default" w:ascii="仿宋" w:hAnsi="仿宋" w:eastAsia="仿宋" w:cs="仿宋"/>
          <w:i w:val="0"/>
          <w:iCs w:val="0"/>
          <w:caps w:val="0"/>
          <w:color w:val="000000"/>
          <w:spacing w:val="0"/>
          <w:kern w:val="0"/>
          <w:sz w:val="28"/>
          <w:szCs w:val="28"/>
          <w:lang w:val="en-US" w:eastAsia="zh-CN" w:bidi="ar"/>
        </w:rPr>
        <w:t>4.</w:t>
      </w:r>
      <w:r>
        <w:rPr>
          <w:rFonts w:hint="eastAsia" w:ascii="仿宋" w:hAnsi="仿宋" w:eastAsia="仿宋" w:cs="仿宋"/>
          <w:i w:val="0"/>
          <w:iCs w:val="0"/>
          <w:caps w:val="0"/>
          <w:color w:val="000000"/>
          <w:spacing w:val="0"/>
          <w:kern w:val="0"/>
          <w:sz w:val="28"/>
          <w:szCs w:val="28"/>
          <w:lang w:val="en-US" w:eastAsia="zh-CN" w:bidi="ar"/>
        </w:rPr>
        <w:t>8 单位负责人为同一人或者存在控股、管理关系的不同单位，不得参加同一标段投标或者未划分标段的同一招标项目投标；</w:t>
      </w:r>
    </w:p>
    <w:p w14:paraId="6AC322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default" w:ascii="仿宋" w:hAnsi="仿宋" w:eastAsia="仿宋" w:cs="仿宋"/>
          <w:i w:val="0"/>
          <w:iCs w:val="0"/>
          <w:caps w:val="0"/>
          <w:color w:val="000000"/>
          <w:spacing w:val="0"/>
          <w:kern w:val="0"/>
          <w:sz w:val="28"/>
          <w:szCs w:val="28"/>
          <w:lang w:val="en-US" w:eastAsia="zh-CN" w:bidi="ar"/>
        </w:rPr>
        <w:t>4.</w:t>
      </w:r>
      <w:r>
        <w:rPr>
          <w:rFonts w:hint="eastAsia" w:ascii="仿宋" w:hAnsi="仿宋" w:eastAsia="仿宋" w:cs="仿宋"/>
          <w:i w:val="0"/>
          <w:iCs w:val="0"/>
          <w:caps w:val="0"/>
          <w:color w:val="000000"/>
          <w:spacing w:val="0"/>
          <w:kern w:val="0"/>
          <w:sz w:val="28"/>
          <w:szCs w:val="28"/>
          <w:lang w:val="en-US" w:eastAsia="zh-CN" w:bidi="ar"/>
        </w:rPr>
        <w:t>9至递交投标文件截止时间止，投标人不得存在以下几种情形之一：</w:t>
      </w:r>
    </w:p>
    <w:p w14:paraId="5078E6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①在国家企业信用信息公示系统（http://www.gsxt.gov.cn/）中被列入经营异常名录、严重违法失信企业名单；</w:t>
      </w:r>
    </w:p>
    <w:p w14:paraId="5324A9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②在“信用中国”网站（http://www.creditchina.gov.cn/）中被列入重大税收违法失信主体名单；</w:t>
      </w:r>
    </w:p>
    <w:p w14:paraId="63119F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③在“信用中国”网站（http://www.creditchina.gov.cn/）中被列入失信被执行人名单。</w:t>
      </w:r>
    </w:p>
    <w:p w14:paraId="15D2FD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注：以上以评标委员会评标现场查询为准，如遇网站系统故障等其他原因导致无法查询，以投标人承诺函为准；如投标人承诺与实际不符，招标人有权取消其中标（或中标候选）资格，并将报监管部门处理。</w:t>
      </w:r>
    </w:p>
    <w:p w14:paraId="026D0E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4.10 其他要求：/。</w:t>
      </w:r>
    </w:p>
    <w:p w14:paraId="1A0E76BD">
      <w:pPr>
        <w:pStyle w:val="8"/>
        <w:pageBreakBefore w:val="0"/>
        <w:kinsoku/>
        <w:wordWrap/>
        <w:overflowPunct/>
        <w:topLinePunct w:val="0"/>
        <w:autoSpaceDE/>
        <w:autoSpaceDN/>
        <w:bidi w:val="0"/>
        <w:spacing w:before="0" w:after="0" w:line="560" w:lineRule="exact"/>
        <w:textAlignment w:val="auto"/>
        <w:rPr>
          <w:rFonts w:hint="eastAsia" w:ascii="黑体" w:hAnsi="宋体" w:eastAsia="黑体" w:cs="黑体"/>
          <w:b w:val="0"/>
          <w:i w:val="0"/>
          <w:iCs w:val="0"/>
          <w:caps w:val="0"/>
          <w:color w:val="000000"/>
          <w:spacing w:val="0"/>
          <w:kern w:val="0"/>
          <w:sz w:val="28"/>
          <w:szCs w:val="28"/>
          <w:lang w:val="en-US" w:eastAsia="zh-CN" w:bidi="ar"/>
        </w:rPr>
      </w:pPr>
      <w:bookmarkStart w:id="31" w:name="_Toc4250"/>
      <w:bookmarkStart w:id="32" w:name="_Toc23947"/>
      <w:bookmarkStart w:id="33" w:name="_Toc9057"/>
      <w:bookmarkStart w:id="34" w:name="_Toc23034"/>
      <w:bookmarkStart w:id="35" w:name="_Toc151393375"/>
      <w:bookmarkStart w:id="36" w:name="_Toc28395"/>
      <w:bookmarkStart w:id="37" w:name="_Toc30329"/>
      <w:r>
        <w:rPr>
          <w:rFonts w:hint="eastAsia" w:ascii="黑体" w:hAnsi="宋体" w:eastAsia="黑体" w:cs="黑体"/>
          <w:b w:val="0"/>
          <w:i w:val="0"/>
          <w:iCs w:val="0"/>
          <w:caps w:val="0"/>
          <w:color w:val="000000"/>
          <w:spacing w:val="0"/>
          <w:kern w:val="0"/>
          <w:sz w:val="28"/>
          <w:szCs w:val="28"/>
          <w:lang w:val="en-US" w:eastAsia="zh-CN" w:bidi="ar"/>
        </w:rPr>
        <w:t>5. 招标文件的获取</w:t>
      </w:r>
      <w:bookmarkEnd w:id="31"/>
      <w:bookmarkEnd w:id="32"/>
      <w:bookmarkEnd w:id="33"/>
      <w:bookmarkEnd w:id="34"/>
      <w:bookmarkEnd w:id="35"/>
      <w:bookmarkEnd w:id="36"/>
      <w:bookmarkEnd w:id="37"/>
    </w:p>
    <w:p w14:paraId="6E089D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5.1获取时间：2026年10月8日至2026年10月16日17时00分。</w:t>
      </w:r>
    </w:p>
    <w:p w14:paraId="756085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5.2获取方式：凡有意参加投标者，请在规定时间内登录“优质采云采购平台”（http://www.youzhicai.com/）购买并下载招标文件。</w:t>
      </w:r>
    </w:p>
    <w:p w14:paraId="709B0D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交易系统使用费：400元，售后不退。</w:t>
      </w:r>
    </w:p>
    <w:p w14:paraId="002BA5A3">
      <w:pPr>
        <w:pStyle w:val="8"/>
        <w:pageBreakBefore w:val="0"/>
        <w:kinsoku/>
        <w:wordWrap/>
        <w:overflowPunct/>
        <w:topLinePunct w:val="0"/>
        <w:autoSpaceDE/>
        <w:autoSpaceDN/>
        <w:bidi w:val="0"/>
        <w:spacing w:before="0" w:after="0" w:line="560" w:lineRule="exact"/>
        <w:textAlignment w:val="auto"/>
        <w:rPr>
          <w:rFonts w:hint="eastAsia" w:ascii="黑体" w:hAnsi="宋体" w:eastAsia="黑体" w:cs="黑体"/>
          <w:b w:val="0"/>
          <w:i w:val="0"/>
          <w:iCs w:val="0"/>
          <w:caps w:val="0"/>
          <w:color w:val="000000"/>
          <w:spacing w:val="0"/>
          <w:kern w:val="0"/>
          <w:sz w:val="28"/>
          <w:szCs w:val="28"/>
          <w:lang w:val="en-US" w:eastAsia="zh-CN" w:bidi="ar"/>
        </w:rPr>
      </w:pPr>
      <w:bookmarkStart w:id="38" w:name="_Toc13489"/>
      <w:bookmarkStart w:id="39" w:name="_Toc26386"/>
      <w:bookmarkStart w:id="40" w:name="_Toc6160"/>
      <w:bookmarkStart w:id="41" w:name="_Toc151393376"/>
      <w:bookmarkStart w:id="42" w:name="_Toc28603"/>
      <w:bookmarkStart w:id="43" w:name="_Toc25533"/>
      <w:bookmarkStart w:id="44" w:name="_Toc5823"/>
      <w:r>
        <w:rPr>
          <w:rFonts w:hint="eastAsia" w:ascii="黑体" w:hAnsi="宋体" w:eastAsia="黑体" w:cs="黑体"/>
          <w:b w:val="0"/>
          <w:i w:val="0"/>
          <w:iCs w:val="0"/>
          <w:caps w:val="0"/>
          <w:color w:val="000000"/>
          <w:spacing w:val="0"/>
          <w:kern w:val="0"/>
          <w:sz w:val="28"/>
          <w:szCs w:val="28"/>
          <w:lang w:val="en-US" w:eastAsia="zh-CN" w:bidi="ar"/>
        </w:rPr>
        <w:t>6. 投标文件的递交</w:t>
      </w:r>
      <w:bookmarkEnd w:id="38"/>
      <w:bookmarkEnd w:id="39"/>
      <w:bookmarkEnd w:id="40"/>
      <w:bookmarkEnd w:id="41"/>
      <w:bookmarkEnd w:id="42"/>
      <w:bookmarkEnd w:id="43"/>
      <w:bookmarkEnd w:id="44"/>
    </w:p>
    <w:p w14:paraId="2614CF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6.1投标文件递交截止时间（投标截止时间，下同）：2026年10月29日9时30分。</w:t>
      </w:r>
    </w:p>
    <w:p w14:paraId="00EF94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6.2投标文件递交地点：通过 “优质采云采购平台”（http://www.youzhicai.com/）递交。</w:t>
      </w:r>
    </w:p>
    <w:p w14:paraId="089801B5">
      <w:pPr>
        <w:pStyle w:val="8"/>
        <w:pageBreakBefore w:val="0"/>
        <w:numPr>
          <w:ilvl w:val="0"/>
          <w:numId w:val="1"/>
        </w:numPr>
        <w:kinsoku/>
        <w:wordWrap/>
        <w:overflowPunct/>
        <w:topLinePunct w:val="0"/>
        <w:autoSpaceDE/>
        <w:autoSpaceDN/>
        <w:bidi w:val="0"/>
        <w:spacing w:before="0" w:after="0" w:line="560" w:lineRule="exact"/>
        <w:textAlignment w:val="auto"/>
        <w:rPr>
          <w:rFonts w:hint="eastAsia" w:ascii="黑体" w:hAnsi="宋体" w:eastAsia="黑体" w:cs="黑体"/>
          <w:b w:val="0"/>
          <w:i w:val="0"/>
          <w:iCs w:val="0"/>
          <w:caps w:val="0"/>
          <w:color w:val="000000"/>
          <w:spacing w:val="0"/>
          <w:kern w:val="0"/>
          <w:sz w:val="28"/>
          <w:szCs w:val="28"/>
          <w:lang w:val="en-US" w:eastAsia="zh-CN" w:bidi="ar"/>
        </w:rPr>
      </w:pPr>
      <w:r>
        <w:rPr>
          <w:rFonts w:hint="eastAsia" w:ascii="黑体" w:hAnsi="宋体" w:eastAsia="黑体" w:cs="黑体"/>
          <w:b w:val="0"/>
          <w:i w:val="0"/>
          <w:iCs w:val="0"/>
          <w:caps w:val="0"/>
          <w:color w:val="000000"/>
          <w:spacing w:val="0"/>
          <w:kern w:val="0"/>
          <w:sz w:val="28"/>
          <w:szCs w:val="28"/>
          <w:lang w:val="en-US" w:eastAsia="zh-CN" w:bidi="ar"/>
        </w:rPr>
        <w:t>评标办法</w:t>
      </w:r>
    </w:p>
    <w:p w14:paraId="3234FF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default" w:ascii="仿宋" w:hAnsi="仿宋" w:eastAsia="仿宋" w:cs="仿宋"/>
          <w:i w:val="0"/>
          <w:iCs w:val="0"/>
          <w:caps w:val="0"/>
          <w:color w:val="000000"/>
          <w:spacing w:val="0"/>
          <w:kern w:val="0"/>
          <w:sz w:val="28"/>
          <w:szCs w:val="28"/>
          <w:lang w:val="en-US" w:eastAsia="zh-CN" w:bidi="ar"/>
        </w:rPr>
      </w:pPr>
      <w:r>
        <w:rPr>
          <w:rFonts w:hint="default" w:ascii="仿宋" w:hAnsi="仿宋" w:eastAsia="仿宋" w:cs="仿宋"/>
          <w:i w:val="0"/>
          <w:iCs w:val="0"/>
          <w:caps w:val="0"/>
          <w:color w:val="000000"/>
          <w:spacing w:val="0"/>
          <w:kern w:val="0"/>
          <w:sz w:val="28"/>
          <w:szCs w:val="28"/>
          <w:lang w:val="en-US" w:eastAsia="zh-CN" w:bidi="ar"/>
        </w:rPr>
        <w:t>本招标项目评标办法采用</w:t>
      </w:r>
      <w:r>
        <w:rPr>
          <w:rFonts w:hint="eastAsia" w:ascii="仿宋" w:hAnsi="仿宋" w:eastAsia="仿宋" w:cs="仿宋"/>
          <w:i w:val="0"/>
          <w:iCs w:val="0"/>
          <w:caps w:val="0"/>
          <w:color w:val="000000"/>
          <w:spacing w:val="0"/>
          <w:kern w:val="0"/>
          <w:sz w:val="28"/>
          <w:szCs w:val="28"/>
          <w:lang w:val="en-US" w:eastAsia="zh-CN" w:bidi="ar"/>
        </w:rPr>
        <w:t>综合评估法</w:t>
      </w:r>
      <w:r>
        <w:rPr>
          <w:rFonts w:hint="default" w:ascii="仿宋" w:hAnsi="仿宋" w:eastAsia="仿宋" w:cs="仿宋"/>
          <w:i w:val="0"/>
          <w:iCs w:val="0"/>
          <w:caps w:val="0"/>
          <w:color w:val="000000"/>
          <w:spacing w:val="0"/>
          <w:kern w:val="0"/>
          <w:sz w:val="28"/>
          <w:szCs w:val="28"/>
          <w:lang w:val="en-US" w:eastAsia="zh-CN" w:bidi="ar"/>
        </w:rPr>
        <w:t>。（见招标文件第三章“评标办法”）</w:t>
      </w:r>
    </w:p>
    <w:p w14:paraId="1898A5C4">
      <w:pPr>
        <w:pStyle w:val="8"/>
        <w:pageBreakBefore w:val="0"/>
        <w:kinsoku/>
        <w:wordWrap/>
        <w:overflowPunct/>
        <w:topLinePunct w:val="0"/>
        <w:autoSpaceDE/>
        <w:autoSpaceDN/>
        <w:bidi w:val="0"/>
        <w:spacing w:before="0" w:after="0" w:line="560" w:lineRule="exact"/>
        <w:textAlignment w:val="auto"/>
        <w:rPr>
          <w:rFonts w:hint="eastAsia" w:ascii="黑体" w:hAnsi="宋体" w:eastAsia="黑体" w:cs="黑体"/>
          <w:b w:val="0"/>
          <w:i w:val="0"/>
          <w:iCs w:val="0"/>
          <w:caps w:val="0"/>
          <w:color w:val="000000"/>
          <w:spacing w:val="0"/>
          <w:kern w:val="0"/>
          <w:sz w:val="28"/>
          <w:szCs w:val="28"/>
          <w:lang w:val="en-US" w:eastAsia="zh-CN" w:bidi="ar"/>
        </w:rPr>
      </w:pPr>
      <w:bookmarkStart w:id="45" w:name="_Toc1903"/>
      <w:bookmarkStart w:id="46" w:name="_Toc5616"/>
      <w:bookmarkStart w:id="47" w:name="_Toc151393377"/>
      <w:bookmarkStart w:id="48" w:name="_Toc31939"/>
      <w:bookmarkStart w:id="49" w:name="_Toc11859"/>
      <w:bookmarkStart w:id="50" w:name="_Toc11971"/>
      <w:bookmarkStart w:id="51" w:name="_Toc7873"/>
      <w:r>
        <w:rPr>
          <w:rFonts w:hint="eastAsia" w:ascii="黑体" w:hAnsi="宋体" w:eastAsia="黑体" w:cs="黑体"/>
          <w:b w:val="0"/>
          <w:i w:val="0"/>
          <w:iCs w:val="0"/>
          <w:caps w:val="0"/>
          <w:color w:val="000000"/>
          <w:spacing w:val="0"/>
          <w:kern w:val="0"/>
          <w:sz w:val="28"/>
          <w:szCs w:val="28"/>
          <w:lang w:val="en-US" w:eastAsia="zh-CN" w:bidi="ar"/>
        </w:rPr>
        <w:t>8. 开标时间及地点</w:t>
      </w:r>
      <w:bookmarkEnd w:id="45"/>
      <w:bookmarkEnd w:id="46"/>
      <w:bookmarkEnd w:id="47"/>
      <w:bookmarkEnd w:id="48"/>
      <w:bookmarkEnd w:id="49"/>
      <w:bookmarkEnd w:id="50"/>
      <w:bookmarkEnd w:id="51"/>
    </w:p>
    <w:p w14:paraId="786868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8.1 开标时间：同投标文件递交截止时间。</w:t>
      </w:r>
    </w:p>
    <w:p w14:paraId="245502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8.2 开标地点：通过“优质采云采购平台”（http://www.youzhicai.com/）线上公开开标。</w:t>
      </w:r>
    </w:p>
    <w:p w14:paraId="541C4170">
      <w:pPr>
        <w:pStyle w:val="8"/>
        <w:pageBreakBefore w:val="0"/>
        <w:kinsoku/>
        <w:wordWrap/>
        <w:overflowPunct/>
        <w:topLinePunct w:val="0"/>
        <w:autoSpaceDE/>
        <w:autoSpaceDN/>
        <w:bidi w:val="0"/>
        <w:spacing w:before="0" w:after="0" w:line="560" w:lineRule="exact"/>
        <w:textAlignment w:val="auto"/>
        <w:rPr>
          <w:rFonts w:hint="eastAsia" w:ascii="黑体" w:hAnsi="宋体" w:eastAsia="黑体" w:cs="黑体"/>
          <w:b w:val="0"/>
          <w:i w:val="0"/>
          <w:iCs w:val="0"/>
          <w:caps w:val="0"/>
          <w:color w:val="000000"/>
          <w:spacing w:val="0"/>
          <w:kern w:val="0"/>
          <w:sz w:val="28"/>
          <w:szCs w:val="28"/>
          <w:lang w:val="en-US" w:eastAsia="zh-CN" w:bidi="ar"/>
        </w:rPr>
      </w:pPr>
      <w:bookmarkStart w:id="52" w:name="_Toc19547"/>
      <w:bookmarkStart w:id="53" w:name="_Toc7689"/>
      <w:bookmarkStart w:id="54" w:name="_Toc24047"/>
      <w:bookmarkStart w:id="55" w:name="_Toc10580"/>
      <w:bookmarkStart w:id="56" w:name="_Toc151393378"/>
      <w:bookmarkStart w:id="57" w:name="_Toc26582"/>
      <w:bookmarkStart w:id="58" w:name="_Toc21354"/>
      <w:r>
        <w:rPr>
          <w:rFonts w:hint="eastAsia" w:ascii="黑体" w:hAnsi="宋体" w:eastAsia="黑体" w:cs="黑体"/>
          <w:b w:val="0"/>
          <w:i w:val="0"/>
          <w:iCs w:val="0"/>
          <w:caps w:val="0"/>
          <w:color w:val="000000"/>
          <w:spacing w:val="0"/>
          <w:kern w:val="0"/>
          <w:sz w:val="28"/>
          <w:szCs w:val="28"/>
          <w:lang w:val="en-US" w:eastAsia="zh-CN" w:bidi="ar"/>
        </w:rPr>
        <w:t>9. 发布公告的媒介</w:t>
      </w:r>
      <w:bookmarkEnd w:id="52"/>
      <w:bookmarkEnd w:id="53"/>
      <w:bookmarkEnd w:id="54"/>
      <w:bookmarkEnd w:id="55"/>
      <w:bookmarkEnd w:id="56"/>
      <w:bookmarkEnd w:id="57"/>
      <w:bookmarkEnd w:id="58"/>
    </w:p>
    <w:p w14:paraId="2F374E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本次招标公告同时在安徽省招标投标信息网（www.ahtba.org.cn）、中国招标投标公共服务平台（www.cebpubservice.com）、中国采购与招标网（www.chinabidding.com.cn）、优质采招标采购平台（www.yzczb.com）和优质采云采购平台（www.youzhicai.com）上发布</w:t>
      </w:r>
      <w:bookmarkStart w:id="60" w:name="_GoBack"/>
      <w:bookmarkEnd w:id="60"/>
      <w:r>
        <w:rPr>
          <w:rFonts w:hint="eastAsia" w:ascii="仿宋" w:hAnsi="仿宋" w:eastAsia="仿宋" w:cs="仿宋"/>
          <w:i w:val="0"/>
          <w:iCs w:val="0"/>
          <w:caps w:val="0"/>
          <w:color w:val="000000"/>
          <w:spacing w:val="0"/>
          <w:kern w:val="0"/>
          <w:sz w:val="28"/>
          <w:szCs w:val="28"/>
          <w:lang w:val="en-US" w:eastAsia="zh-CN" w:bidi="ar"/>
        </w:rPr>
        <w:t>。</w:t>
      </w:r>
    </w:p>
    <w:p w14:paraId="66DAF9D8">
      <w:pPr>
        <w:pStyle w:val="8"/>
        <w:pageBreakBefore w:val="0"/>
        <w:kinsoku/>
        <w:wordWrap/>
        <w:overflowPunct/>
        <w:topLinePunct w:val="0"/>
        <w:autoSpaceDE/>
        <w:autoSpaceDN/>
        <w:bidi w:val="0"/>
        <w:spacing w:before="0" w:after="0" w:line="560" w:lineRule="exact"/>
        <w:textAlignment w:val="auto"/>
        <w:rPr>
          <w:rFonts w:hint="eastAsia" w:ascii="黑体" w:hAnsi="宋体" w:eastAsia="黑体" w:cs="黑体"/>
          <w:b w:val="0"/>
          <w:i w:val="0"/>
          <w:iCs w:val="0"/>
          <w:caps w:val="0"/>
          <w:color w:val="000000"/>
          <w:spacing w:val="0"/>
          <w:kern w:val="0"/>
          <w:sz w:val="28"/>
          <w:szCs w:val="28"/>
          <w:lang w:val="en-US" w:eastAsia="zh-CN" w:bidi="ar"/>
        </w:rPr>
      </w:pPr>
      <w:bookmarkStart w:id="59" w:name="_Toc28783"/>
      <w:r>
        <w:rPr>
          <w:rFonts w:hint="eastAsia" w:ascii="黑体" w:hAnsi="宋体" w:eastAsia="黑体" w:cs="黑体"/>
          <w:b w:val="0"/>
          <w:i w:val="0"/>
          <w:iCs w:val="0"/>
          <w:caps w:val="0"/>
          <w:color w:val="000000"/>
          <w:spacing w:val="0"/>
          <w:kern w:val="0"/>
          <w:sz w:val="28"/>
          <w:szCs w:val="28"/>
          <w:lang w:val="en-US" w:eastAsia="zh-CN" w:bidi="ar"/>
        </w:rPr>
        <w:t>10. 联系方式</w:t>
      </w:r>
      <w:bookmarkEnd w:id="59"/>
    </w:p>
    <w:p w14:paraId="661CB6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10.1招 标 人：宝鸡合力叉车有限公司                         </w:t>
      </w:r>
    </w:p>
    <w:p w14:paraId="6F52C4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地    址：陕西省宝鸡市宝福路127号</w:t>
      </w:r>
    </w:p>
    <w:p w14:paraId="19DDD6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联 系 人：张经理                           </w:t>
      </w:r>
    </w:p>
    <w:p w14:paraId="70F979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电    话：0917-3571241                       </w:t>
      </w:r>
    </w:p>
    <w:p w14:paraId="79E9D6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10.2招标代理机构：安徽省招标集团股份有限公司</w:t>
      </w:r>
    </w:p>
    <w:p w14:paraId="6BCD7E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地    址：安徽省合肥市紫云路888号</w:t>
      </w:r>
    </w:p>
    <w:p w14:paraId="55A2D9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联 系 人：王瑜秀</w:t>
      </w:r>
    </w:p>
    <w:p w14:paraId="190B42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default"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电    话：0551-66061470、19966468545</w:t>
      </w:r>
    </w:p>
    <w:p w14:paraId="163ADE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邮    箱：zhaobiao7@ah-inter.com  </w:t>
      </w:r>
    </w:p>
    <w:p w14:paraId="13896F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注：应急客服电话：0551-62220153（接听时间：8:30-12:00，13:30-17:30，节假日除外。潜在投标人应优先拨打项目联系人联系电话，无人接听时再拨打该“应急客服电话”） </w:t>
      </w:r>
    </w:p>
    <w:p w14:paraId="7E3906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10.3异议受理联系人</w:t>
      </w:r>
    </w:p>
    <w:p w14:paraId="774006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招标代理机构：安徽省招标集团股份有限公司</w:t>
      </w:r>
    </w:p>
    <w:p w14:paraId="55D7C8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地    址：安徽省合肥市包河区紫云路888号安徽省招标集团总部基地407室  </w:t>
      </w:r>
    </w:p>
    <w:p w14:paraId="00F2D6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联 系 人：张律师                            </w:t>
      </w:r>
    </w:p>
    <w:p w14:paraId="12B4DD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电    话：0551-62220155 </w:t>
      </w:r>
    </w:p>
    <w:p w14:paraId="2E9DF5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注：如对本项目有投诉的，投诉联系方式见异议回复函。</w:t>
      </w:r>
    </w:p>
    <w:p w14:paraId="22961037">
      <w:pPr>
        <w:pStyle w:val="8"/>
        <w:pageBreakBefore w:val="0"/>
        <w:kinsoku/>
        <w:wordWrap/>
        <w:overflowPunct/>
        <w:topLinePunct w:val="0"/>
        <w:autoSpaceDE/>
        <w:autoSpaceDN/>
        <w:bidi w:val="0"/>
        <w:spacing w:before="0" w:after="0" w:line="560" w:lineRule="exact"/>
        <w:textAlignment w:val="auto"/>
        <w:rPr>
          <w:rFonts w:hint="default" w:ascii="黑体" w:hAnsi="宋体" w:eastAsia="黑体" w:cs="黑体"/>
          <w:b w:val="0"/>
          <w:i w:val="0"/>
          <w:iCs w:val="0"/>
          <w:caps w:val="0"/>
          <w:color w:val="000000"/>
          <w:spacing w:val="0"/>
          <w:kern w:val="0"/>
          <w:sz w:val="28"/>
          <w:szCs w:val="28"/>
          <w:lang w:val="en-US" w:eastAsia="zh-CN" w:bidi="ar"/>
        </w:rPr>
      </w:pPr>
      <w:r>
        <w:rPr>
          <w:rFonts w:hint="default" w:ascii="黑体" w:hAnsi="宋体" w:eastAsia="黑体" w:cs="黑体"/>
          <w:b w:val="0"/>
          <w:i w:val="0"/>
          <w:iCs w:val="0"/>
          <w:caps w:val="0"/>
          <w:color w:val="000000"/>
          <w:spacing w:val="0"/>
          <w:kern w:val="0"/>
          <w:sz w:val="28"/>
          <w:szCs w:val="28"/>
          <w:lang w:val="en-US" w:eastAsia="zh-CN" w:bidi="ar"/>
        </w:rPr>
        <w:t>1</w:t>
      </w:r>
      <w:r>
        <w:rPr>
          <w:rFonts w:hint="eastAsia" w:ascii="黑体" w:hAnsi="宋体" w:eastAsia="黑体" w:cs="黑体"/>
          <w:b w:val="0"/>
          <w:i w:val="0"/>
          <w:iCs w:val="0"/>
          <w:caps w:val="0"/>
          <w:color w:val="000000"/>
          <w:spacing w:val="0"/>
          <w:kern w:val="0"/>
          <w:sz w:val="28"/>
          <w:szCs w:val="28"/>
          <w:lang w:val="en-US" w:eastAsia="zh-CN" w:bidi="ar"/>
        </w:rPr>
        <w:t>1</w:t>
      </w:r>
      <w:r>
        <w:rPr>
          <w:rFonts w:hint="default" w:ascii="黑体" w:hAnsi="宋体" w:eastAsia="黑体" w:cs="黑体"/>
          <w:b w:val="0"/>
          <w:i w:val="0"/>
          <w:iCs w:val="0"/>
          <w:caps w:val="0"/>
          <w:color w:val="000000"/>
          <w:spacing w:val="0"/>
          <w:kern w:val="0"/>
          <w:sz w:val="28"/>
          <w:szCs w:val="28"/>
          <w:lang w:val="en-US" w:eastAsia="zh-CN" w:bidi="ar"/>
        </w:rPr>
        <w:t>.其他事项说明</w:t>
      </w:r>
    </w:p>
    <w:p w14:paraId="0A8E34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1）潜在投标人须登录“优质采云采购平台”（网址：https://www.youzhicai.com/，以下称“优质采平台”）参与本项目采购活动。首次登录须办理注册手续，请务必选择注册为“投标人角色”类型。注册流程见优质采平台“用户注册”栏目，咨询电话：400-0099-555。因未及时办理注册手续影响参加采购活动的，责任自负。</w:t>
      </w:r>
    </w:p>
    <w:p w14:paraId="5A8C2B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2）已注册的潜在投标人可登录优质采平台获取采购文件，本项目的采购文件及其他资料（含澄清、答疑及相关补充文件）通过优质采平台发布，招标人/代理机构不再另行书面通知，潜在投标人应及时关注、查阅优质采平台。因未及时查看导致不利后果的，责任自负。</w:t>
      </w:r>
    </w:p>
    <w:p w14:paraId="1AC32D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（3）已注册的潜在投标人若注册信息发生变更（如：与初始注册信息不一致），应及时网上提交变更申请。因未及时变更导致不利后果的，责任自负。</w:t>
      </w:r>
    </w:p>
    <w:p w14:paraId="3567FE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 xml:space="preserve">（4）本项目采用全流程电子化采购方式，潜在投标人须办理CA数字证书（以下简称CA），CA用于电子投标文件的签章及上传（上传投标文件需使用CA进行加密）；CA办理详见《关于优质采平台数字证书办理的须知》   </w:t>
      </w:r>
    </w:p>
    <w:p w14:paraId="384C23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（http://www.youzhicai.com/nd/a_8f80a7ec-911f-4c4d-a123-f8849880f045.html）；咨询热线：400-0099-555。</w:t>
      </w:r>
    </w:p>
    <w:p w14:paraId="29D432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i w:val="0"/>
          <w:iCs w:val="0"/>
          <w:caps w:val="0"/>
          <w:color w:val="000000"/>
          <w:spacing w:val="0"/>
          <w:kern w:val="0"/>
          <w:sz w:val="28"/>
          <w:szCs w:val="28"/>
          <w:lang w:val="en-US" w:eastAsia="zh-CN" w:bidi="ar"/>
        </w:rPr>
        <w:t>（5）电子投标文件必须使用“优质采投标工具客户端”制作生成并上传。下载地址：http://toolcdn.youzhicai.com/tools/BidderTools.zip，使用说明书及视频教程下载地址： http://file.youzhicai.com/files/BidderHelp.rar。</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F225A7"/>
    <w:multiLevelType w:val="singleLevel"/>
    <w:tmpl w:val="D8F225A7"/>
    <w:lvl w:ilvl="0" w:tentative="0">
      <w:start w:val="7"/>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274B11"/>
    <w:rsid w:val="17841624"/>
    <w:rsid w:val="23D359EC"/>
    <w:rsid w:val="258424AE"/>
    <w:rsid w:val="4F244236"/>
    <w:rsid w:val="65274B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5">
    <w:name w:val="heading 1"/>
    <w:basedOn w:val="6"/>
    <w:next w:val="1"/>
    <w:qFormat/>
    <w:uiPriority w:val="0"/>
    <w:pPr>
      <w:keepNext/>
      <w:keepLines/>
      <w:spacing w:before="340" w:after="330" w:line="576" w:lineRule="auto"/>
      <w:outlineLvl w:val="0"/>
    </w:pPr>
    <w:rPr>
      <w:rFonts w:ascii="Times New Roman" w:hAnsi="Times New Roman"/>
      <w:b/>
      <w:kern w:val="44"/>
      <w:sz w:val="44"/>
      <w:szCs w:val="20"/>
    </w:rPr>
  </w:style>
  <w:style w:type="paragraph" w:styleId="8">
    <w:name w:val="heading 2"/>
    <w:basedOn w:val="1"/>
    <w:next w:val="1"/>
    <w:qFormat/>
    <w:uiPriority w:val="0"/>
    <w:pPr>
      <w:keepNext/>
      <w:keepLines/>
      <w:spacing w:before="260" w:after="260" w:line="412" w:lineRule="auto"/>
      <w:outlineLvl w:val="1"/>
    </w:pPr>
    <w:rPr>
      <w:rFonts w:ascii="Arial" w:hAnsi="Arial" w:eastAsia="黑体"/>
      <w:b/>
      <w:sz w:val="32"/>
      <w:szCs w:val="20"/>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0"/>
    <w:pPr>
      <w:tabs>
        <w:tab w:val="left" w:pos="1078"/>
        <w:tab w:val="left" w:pos="1176"/>
        <w:tab w:val="left" w:pos="1638"/>
        <w:tab w:val="left" w:pos="3920"/>
        <w:tab w:val="left" w:pos="5670"/>
      </w:tabs>
      <w:adjustRightInd w:val="0"/>
      <w:spacing w:before="120" w:beforeLines="0" w:after="180" w:afterLines="0" w:line="312" w:lineRule="auto"/>
      <w:ind w:firstLine="200" w:firstLineChars="200"/>
    </w:pPr>
    <w:rPr>
      <w:rFonts w:ascii="Arial" w:hAnsi="Arial"/>
      <w:sz w:val="28"/>
    </w:rPr>
  </w:style>
  <w:style w:type="paragraph" w:styleId="3">
    <w:name w:val="Body Text Indent"/>
    <w:basedOn w:val="1"/>
    <w:next w:val="4"/>
    <w:qFormat/>
    <w:uiPriority w:val="0"/>
    <w:pPr>
      <w:ind w:firstLine="560" w:firstLineChars="200"/>
    </w:pPr>
    <w:rPr>
      <w:rFonts w:ascii="宋体" w:hAnsi="宋体"/>
      <w:bCs/>
      <w:sz w:val="28"/>
      <w:szCs w:val="32"/>
    </w:rPr>
  </w:style>
  <w:style w:type="paragraph" w:customStyle="1" w:styleId="4">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textAlignment w:val="center"/>
    </w:pPr>
    <w:rPr>
      <w:rFonts w:ascii="Arial" w:hAnsi="Arial" w:cs="Arial"/>
      <w:kern w:val="0"/>
      <w:sz w:val="24"/>
      <w:szCs w:val="24"/>
    </w:rPr>
  </w:style>
  <w:style w:type="paragraph" w:customStyle="1" w:styleId="6">
    <w:name w:val="Default"/>
    <w:next w:val="7"/>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7">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styleId="9">
    <w:name w:val="Body Text"/>
    <w:basedOn w:val="1"/>
    <w:next w:val="6"/>
    <w:qFormat/>
    <w:uiPriority w:val="0"/>
    <w:pPr>
      <w:spacing w:after="120"/>
    </w:pPr>
    <w:rPr>
      <w:rFonts w:ascii="Times New Roman"/>
      <w:kern w:val="2"/>
      <w:sz w:val="21"/>
      <w:szCs w:val="24"/>
    </w:rPr>
  </w:style>
  <w:style w:type="character" w:styleId="12">
    <w:name w:val="Strong"/>
    <w:basedOn w:val="11"/>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3287</Words>
  <Characters>4072</Characters>
  <Lines>0</Lines>
  <Paragraphs>0</Paragraphs>
  <TotalTime>3</TotalTime>
  <ScaleCrop>false</ScaleCrop>
  <LinksUpToDate>false</LinksUpToDate>
  <CharactersWithSpaces>4257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2026-10-08T07:20:00Z</dcterms:created>
  <dc:creator>初审-王瑜秀</dc:creator>
  <cp:lastModifiedBy>初审-王瑜秀</cp:lastModifiedBy>
  <dcterms:modified xsi:type="dcterms:W3CDTF">2026-10-08T09:09:18Z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A4F71600F6584D6C978A35466E9F41C7_13</vt:lpwstr>
  </property>
  <property fmtid="{D5CDD505-2E9C-101B-9397-08002B2CF9AE}" pid="4" name="KSOTemplateDocerSaveRecord">
    <vt:lpwstr>eyJoZGlkIjoiNTlkODVlM2MwNTJkZDRmOGE1N2Q2OWZjNWNlZTA4YjQiLCJ1c2VySWQiOiI2NTM5ODIyOTAifQ==</vt:lpwstr>
  </property>
</Properties>
</file>